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2F" w:rsidRDefault="00384F2F" w:rsidP="00AD154F">
      <w:pPr>
        <w:pStyle w:val="Nagwek1"/>
      </w:pPr>
      <w:r>
        <w:t>Wymagania edukacyjne niezbędne do otrzymania przez ucznia poszczególnych śródrocznych i rocznych ocen klasyfikacyjnych z geografii w klasie 7.</w:t>
      </w:r>
    </w:p>
    <w:p w:rsidR="00384F2F" w:rsidRDefault="00384F2F" w:rsidP="00384F2F">
      <w:pPr>
        <w:rPr>
          <w:b/>
        </w:rPr>
      </w:pPr>
    </w:p>
    <w:p w:rsidR="00384F2F" w:rsidRPr="00384F2F" w:rsidRDefault="00384F2F" w:rsidP="00384F2F">
      <w:pPr>
        <w:rPr>
          <w:b/>
          <w:i/>
          <w:iCs/>
          <w:sz w:val="22"/>
          <w:szCs w:val="22"/>
        </w:rPr>
      </w:pPr>
      <w:r w:rsidRPr="00384F2F">
        <w:rPr>
          <w:b/>
          <w:i/>
          <w:iCs/>
        </w:rPr>
        <w:t>Nauczyciel :Joanna Kochańska</w:t>
      </w:r>
    </w:p>
    <w:p w:rsidR="003432BE" w:rsidRPr="00384F2F" w:rsidRDefault="003432BE" w:rsidP="002A0DC5">
      <w:pPr>
        <w:pStyle w:val="Nagwek2"/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2A0DC5" w:rsidRPr="000D73F1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DD00BF" w:rsidRPr="00C87C30" w:rsidRDefault="00DD00BF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55AF0" w:rsidRPr="00C87C3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ocena dopuszczająca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DD00BF" w:rsidP="00623C71">
            <w:pPr>
              <w:ind w:left="158" w:hanging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55AF0" w:rsidRPr="00C87C3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ocena dostateczna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DD00BF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55AF0" w:rsidRPr="00C87C3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ocena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DD00BF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ocena bardzo dobra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C87C30" w:rsidRDefault="00DD00BF" w:rsidP="00623C71">
            <w:pPr>
              <w:ind w:left="72" w:right="-14" w:hanging="7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55AF0" w:rsidRPr="00C87C3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ocena celująca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AD154F" w:rsidRDefault="00B31F4F" w:rsidP="00AD154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lastRenderedPageBreak/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AD154F" w:rsidRDefault="00B31F4F" w:rsidP="00AD154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  <w:r w:rsidRPr="00AD154F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Pr="00AD154F" w:rsidRDefault="00C854BD" w:rsidP="00AD154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opisuje wody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powierzchniowe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na podstawie mapy ogólnogeograficznej </w:t>
            </w:r>
            <w:r w:rsidRPr="00AD154F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F42564" w:rsidRPr="00AD154F" w:rsidRDefault="0047241C" w:rsidP="00AD154F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AD154F" w:rsidRDefault="00C854BD" w:rsidP="00AD154F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02451F" w:rsidRPr="00AD154F" w:rsidRDefault="00C854BD" w:rsidP="00AD154F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innych form ochrony przyrody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AD154F" w:rsidRDefault="00317A08" w:rsidP="00AD154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</w:t>
            </w:r>
            <w:r w:rsidR="00AD154F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AD154F" w:rsidRDefault="00C854BD" w:rsidP="00AD154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</w:t>
            </w: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>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sztucznych zbiorników wodnych na wezbrania oraz występowanie i skutki powodzi w Polsce </w:t>
            </w:r>
          </w:p>
          <w:p w:rsidR="00C854BD" w:rsidRPr="00BA15B5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317A08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Europie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Europy 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innych krajach europejskich na podstawie danych statystycznych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porównuje strukturę narodowościową ludności Polski z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>ą narodowościową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wybranych krajach europejskich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="005E05B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strukturę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wieku</w:t>
            </w:r>
            <w:r w:rsidR="00BA15B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tych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europejskich na podstawie piramidy </w:t>
            </w:r>
            <w:r w:rsidR="00BA15B5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problemy mniejszości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narodowych w Europie 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  <w:p w:rsidR="00DE0164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:rsidR="003D132E" w:rsidRPr="003D132E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B8632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:rsidR="003D132E" w:rsidRPr="00E54231" w:rsidRDefault="003D132E" w:rsidP="003D132E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źródła zanieczyszczeń komunalnych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4821D7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F03D2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</w:t>
            </w:r>
            <w:r w:rsidR="00D66F1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rozwój</w:t>
            </w:r>
            <w:r w:rsidR="00D66F1C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przemysłu stoczniowego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</w:t>
            </w:r>
            <w:r w:rsidR="00D04F33">
              <w:rPr>
                <w:rFonts w:asciiTheme="minorHAnsi" w:hAnsiTheme="minorHAnsi" w:cstheme="minorHAnsi"/>
                <w:sz w:val="18"/>
                <w:szCs w:val="16"/>
              </w:rPr>
              <w:t xml:space="preserve">danych statystycznych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st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opień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wód śródlądowych </w:t>
            </w:r>
          </w:p>
          <w:p w:rsidR="003D132E" w:rsidRPr="00BA15B5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</w:t>
            </w:r>
            <w:r w:rsidR="00F7626A">
              <w:rPr>
                <w:rFonts w:asciiTheme="minorHAnsi" w:hAnsiTheme="minorHAnsi" w:cstheme="minorHAnsi"/>
                <w:sz w:val="18"/>
                <w:szCs w:val="16"/>
              </w:rPr>
              <w:t>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  <w:p w:rsidR="00821C66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:rsidR="003D132E" w:rsidRPr="00E54231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w których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region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w Polsce 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 xml:space="preserve">występuje 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największ</w:t>
            </w:r>
            <w:r w:rsidR="00B7195F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 zanieczyszczenie środowiska przyrodniczego </w:t>
            </w:r>
          </w:p>
          <w:p w:rsidR="003D132E" w:rsidRPr="00BA15B5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36CF0" w:rsidRPr="008E4DF9" w:rsidTr="0072360E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AA3C75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3D132E" w:rsidRPr="00577D1D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BA15B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dostępnych źródeł problemy polskiego transportu wodnego i lotniczego </w:t>
            </w:r>
          </w:p>
          <w:p w:rsid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AA3C75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</w:t>
            </w:r>
            <w:r w:rsidR="003B3A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rozwoju innych działów gospodarki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D132E" w:rsidRPr="00577D1D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logistycznych i handlowych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na wybranym obszarze kraju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A2086B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regionie miejsca zamieszkania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decydujące o jej atrakcyjności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p w:rsidR="00176F8D" w:rsidRDefault="001068E8" w:rsidP="00176F8D">
      <w:pPr>
        <w:rPr>
          <w:sz w:val="22"/>
          <w:szCs w:val="22"/>
        </w:rPr>
      </w:pPr>
      <w:r w:rsidRPr="001068E8">
        <w:lastRenderedPageBreak/>
        <w:t>Uczniowie realizujący geografię  dwujęzycznie, stopniowo poznają specjalistyczne  słownictwo i  potrafią włączyć je w wypowiedź w języku obcym za wyjątkiem treśc</w:t>
      </w:r>
      <w:r>
        <w:t>i związanych z geografią Polski</w:t>
      </w:r>
      <w:r w:rsidR="00176F8D">
        <w:t xml:space="preserve">. </w:t>
      </w:r>
    </w:p>
    <w:p w:rsidR="00176F8D" w:rsidRPr="00A2086B" w:rsidRDefault="00176F8D" w:rsidP="00E71663">
      <w:pPr>
        <w:rPr>
          <w:rFonts w:asciiTheme="minorHAnsi" w:hAnsiTheme="minorHAnsi" w:cstheme="minorHAnsi"/>
          <w:sz w:val="8"/>
          <w:szCs w:val="16"/>
        </w:rPr>
      </w:pPr>
    </w:p>
    <w:sectPr w:rsidR="00176F8D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A3" w:rsidRDefault="00556FA3" w:rsidP="00F406B9">
      <w:r>
        <w:separator/>
      </w:r>
    </w:p>
  </w:endnote>
  <w:endnote w:type="continuationSeparator" w:id="0">
    <w:p w:rsidR="00556FA3" w:rsidRDefault="00556FA3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A3" w:rsidRDefault="00556FA3" w:rsidP="00F406B9">
      <w:r>
        <w:separator/>
      </w:r>
    </w:p>
  </w:footnote>
  <w:footnote w:type="continuationSeparator" w:id="0">
    <w:p w:rsidR="00556FA3" w:rsidRDefault="00556FA3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458A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8E8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6F8D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C764F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74622"/>
    <w:rsid w:val="00380C69"/>
    <w:rsid w:val="00380E44"/>
    <w:rsid w:val="0038154A"/>
    <w:rsid w:val="003843FB"/>
    <w:rsid w:val="00384814"/>
    <w:rsid w:val="00384F2F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56FA3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3C71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1D50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4314D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154F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A5E9-7125-4426-B41B-04CACE9C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3612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Stacjonarka</cp:lastModifiedBy>
  <cp:revision>5</cp:revision>
  <cp:lastPrinted>2017-08-02T09:04:00Z</cp:lastPrinted>
  <dcterms:created xsi:type="dcterms:W3CDTF">2022-12-27T16:43:00Z</dcterms:created>
  <dcterms:modified xsi:type="dcterms:W3CDTF">2023-01-02T17:23:00Z</dcterms:modified>
</cp:coreProperties>
</file>