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CEF" w:rsidRDefault="00337313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Regulamin rekrutacji uczniów do klasy VII Szkoły Podstawowej nr 21  w Rzeszowie</w:t>
      </w:r>
    </w:p>
    <w:p w:rsidR="00CB5CEF" w:rsidRDefault="00337313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oddział dwujęzyczny </w:t>
      </w:r>
      <w:r>
        <w:rPr>
          <w:rFonts w:ascii="Times New Roman" w:hAnsi="Times New Roman" w:cs="Times New Roman"/>
          <w:b/>
          <w:bCs/>
          <w:color w:val="000000"/>
        </w:rPr>
        <w:t>na rok szkolny 2020/2021</w:t>
      </w:r>
    </w:p>
    <w:p w:rsidR="00CB5CEF" w:rsidRDefault="00CB5CE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B5CEF" w:rsidRDefault="0033731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oddziale dwujęzycznym nauczanie jest prowadzone w dwóch językach: polskim oraz obcym nowożytnym będącym drugim językiem nauczania, przy czym prowadzone w dwóch językach są co najmniej dwa zajęcia edukacyjne, z wyjątkiem zajęć obejmujących język polski, część historii dotyczącej Polski i cześć geografii dotyczącej geografii Polski, w tym, co najmniej jedne zajęcia edukacyjne wybrane spośród zajęć obejmujących: biologię, chemię, fizykę, część geografii odnoszącej się do geografii ogólnej, część historii odnoszącej się do historii powszechnej lub matematykę.</w:t>
      </w:r>
    </w:p>
    <w:p w:rsidR="00CB5CEF" w:rsidRDefault="00CB5CE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B5CEF" w:rsidRDefault="00337313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PODSTAWY PRAWNE</w:t>
      </w:r>
    </w:p>
    <w:p w:rsidR="00CB5CEF" w:rsidRDefault="00CB5CE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B5CEF" w:rsidRDefault="0033731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Ustawa z dnia 14 grudnia 2016 r. Prawo oświatowe (Dz. U. z 2017 r., poz. 59, 949 i 2203);</w:t>
      </w:r>
    </w:p>
    <w:p w:rsidR="00CB5CEF" w:rsidRDefault="0033731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2.Rozporządzenie Ministra Edukacji Narodowej z dnia 16 marca 2017 r. w sprawie przeprowadzania postępowania rekrutacyjnego oraz postępowania uzupełniającego do publicznych przedszkoli, szkół i placówek;</w:t>
      </w:r>
    </w:p>
    <w:p w:rsidR="00CB5CEF" w:rsidRDefault="0033731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Statut Szkoły Podstawowej Nr 21 w Rzeszowie</w:t>
      </w:r>
    </w:p>
    <w:p w:rsidR="00CB5CEF" w:rsidRDefault="00CB5CE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1C49D0" w:rsidRDefault="001C49D0">
      <w:pPr>
        <w:pStyle w:val="Textbody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CB5CEF" w:rsidRDefault="00337313">
      <w:pPr>
        <w:pStyle w:val="Textbody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Regulamin Rekrutacji do Szkoły Podstawowej Nr 21 im. Armii Krajowej w Rzeszowie na rok szkolny 2020/2021 w poniższym brzmieniu:</w:t>
      </w:r>
    </w:p>
    <w:p w:rsidR="005C37B6" w:rsidRDefault="00337313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2F2F2F"/>
        </w:rPr>
      </w:pPr>
      <w:r>
        <w:rPr>
          <w:rFonts w:ascii="Times New Roman" w:hAnsi="Times New Roman" w:cs="Times New Roman"/>
          <w:color w:val="2F2F2F"/>
        </w:rPr>
        <w:t> </w:t>
      </w:r>
    </w:p>
    <w:p w:rsidR="00CB5CEF" w:rsidRDefault="00337313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1. Zasady ogólne</w:t>
      </w:r>
    </w:p>
    <w:p w:rsidR="00CB5CEF" w:rsidRDefault="00337313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2F2F2F"/>
        </w:rPr>
      </w:pPr>
      <w:r>
        <w:rPr>
          <w:rFonts w:ascii="Times New Roman" w:hAnsi="Times New Roman" w:cs="Times New Roman"/>
          <w:color w:val="2F2F2F"/>
        </w:rPr>
        <w:t> </w:t>
      </w:r>
    </w:p>
    <w:p w:rsidR="00CB5CEF" w:rsidRDefault="005C37B6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="00337313">
        <w:rPr>
          <w:rFonts w:ascii="Times New Roman" w:hAnsi="Times New Roman" w:cs="Times New Roman"/>
          <w:color w:val="000000"/>
        </w:rPr>
        <w:t>Niniejszy Regulamin określa:</w:t>
      </w:r>
    </w:p>
    <w:p w:rsidR="00CB5CEF" w:rsidRDefault="00337313" w:rsidP="005C37B6">
      <w:pPr>
        <w:pStyle w:val="Textbody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zadania komisji rekrutacyjnej,</w:t>
      </w:r>
    </w:p>
    <w:p w:rsidR="00CB5CEF" w:rsidRDefault="00337313" w:rsidP="005C37B6">
      <w:pPr>
        <w:pStyle w:val="Textbody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terminarz rekrutacji do Szkoły Podstawowej nr 21 im. Armii Krajowej  w Rzeszowie, na rok szkolny 2020/2021,</w:t>
      </w:r>
    </w:p>
    <w:p w:rsidR="00CB5CEF" w:rsidRDefault="00337313" w:rsidP="005C37B6">
      <w:pPr>
        <w:pStyle w:val="Textbody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kryteria rekrutacji do Szkoły Podstawowej nr 21 im. Armii Krajowej  w Rzeszowie na rok szkolny 2020/2021.</w:t>
      </w:r>
    </w:p>
    <w:p w:rsidR="00CB5CEF" w:rsidRDefault="00337313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Rekrutację do klasy siódmej dwujęzycznej przeprowadza komisja rekrutacyjna powołana przez </w:t>
      </w:r>
      <w:r w:rsidR="005C37B6"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yrektora szkoły, w skład której wchodzą: przewodniczący oraz jej członkowie.</w:t>
      </w:r>
    </w:p>
    <w:p w:rsidR="005C37B6" w:rsidRDefault="00337313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3. Rekrutacja odbywa się zgodnie z kryteriami określonymi w ustawie o systemie oświaty oraz aktach wykonawczych wydanych na jej podstawie.</w:t>
      </w:r>
    </w:p>
    <w:p w:rsidR="00CB5CEF" w:rsidRDefault="00CB5CEF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CB5CEF" w:rsidRDefault="00337313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2. Komisja rekrutacyjna.</w:t>
      </w:r>
    </w:p>
    <w:p w:rsidR="00CB5CEF" w:rsidRDefault="00CB5CEF">
      <w:pPr>
        <w:pStyle w:val="Textbody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CB5CEF" w:rsidRDefault="005C37B6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="00337313">
        <w:rPr>
          <w:rFonts w:ascii="Times New Roman" w:hAnsi="Times New Roman" w:cs="Times New Roman"/>
          <w:color w:val="000000"/>
        </w:rPr>
        <w:t>Do zadań Szkolnej Komisji Rekrutacyjnej należy m.in. :</w:t>
      </w:r>
    </w:p>
    <w:p w:rsidR="00CB5CEF" w:rsidRDefault="00337313" w:rsidP="005C37B6">
      <w:pPr>
        <w:pStyle w:val="Textbody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wykonywanie wszystkich czynności związanych z rekrutacją;</w:t>
      </w:r>
    </w:p>
    <w:p w:rsidR="00CB5CEF" w:rsidRDefault="005C37B6" w:rsidP="005C37B6">
      <w:pPr>
        <w:pStyle w:val="Textbody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337313">
        <w:rPr>
          <w:rFonts w:ascii="Times New Roman" w:hAnsi="Times New Roman" w:cs="Times New Roman"/>
          <w:color w:val="000000"/>
        </w:rPr>
        <w:t>) przeprowadzenie sprawdzianu predyspozycji językowych do oddziałów dwujęzycznych w części pisemnej oraz ustnej (rozmowa ustna kandydata z komisją);</w:t>
      </w:r>
    </w:p>
    <w:p w:rsidR="00CB5CEF" w:rsidRDefault="005C37B6" w:rsidP="005C37B6">
      <w:pPr>
        <w:pStyle w:val="Textbody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337313">
        <w:rPr>
          <w:rFonts w:ascii="Times New Roman" w:hAnsi="Times New Roman" w:cs="Times New Roman"/>
          <w:color w:val="000000"/>
        </w:rPr>
        <w:t>) ustalenie i podanie do publicznej wiadomości listy kandydatów przyjętych do oddziału dwujęzycznego</w:t>
      </w:r>
    </w:p>
    <w:p w:rsidR="00CB5CEF" w:rsidRDefault="005C37B6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="00337313">
        <w:rPr>
          <w:rFonts w:ascii="Times New Roman" w:hAnsi="Times New Roman" w:cs="Times New Roman"/>
          <w:color w:val="000000"/>
        </w:rPr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 szkoły.</w:t>
      </w:r>
    </w:p>
    <w:p w:rsidR="00CB5CEF" w:rsidRDefault="005C37B6">
      <w:pPr>
        <w:pStyle w:val="Textbod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="00337313">
        <w:rPr>
          <w:rFonts w:ascii="Times New Roman" w:hAnsi="Times New Roman" w:cs="Times New Roman"/>
          <w:color w:val="000000"/>
        </w:rPr>
        <w:t xml:space="preserve">Komisja rekrutacyjna przyjmuje kandydata do oddziału dwujęzycznego klasy VII, jeżeli w wyniku postępowania rekrutacyjnego kandydat został zakwalifikowany oraz złożył wymagane dokumenty, następnie przystąpił do egzaminu predyspozycji językowych do oddziałów dwujęzycznych w części pisemnej oraz ustnej ( rozmowa ustna kandydata z komisją) i uzyskał pozytywny wynik </w:t>
      </w:r>
      <w:r w:rsidR="00337313">
        <w:rPr>
          <w:rFonts w:ascii="Times New Roman" w:eastAsia="Times New Roman" w:hAnsi="Times New Roman" w:cs="Times New Roman"/>
          <w:color w:val="1C1C1C"/>
        </w:rPr>
        <w:t>(tj. min. 75% w części pisemnej).</w:t>
      </w:r>
    </w:p>
    <w:p w:rsidR="00CB5CEF" w:rsidRDefault="005C37B6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="00337313">
        <w:rPr>
          <w:rFonts w:ascii="Times New Roman" w:hAnsi="Times New Roman" w:cs="Times New Roman"/>
          <w:color w:val="000000"/>
        </w:rPr>
        <w:t>Listy kandydatów przyjętych do oddziału dwujęzycznego  podaje się do publicznej wiadomości poprzez umieszczenie w widocznym miejscu w siedzibie szkoły.</w:t>
      </w:r>
    </w:p>
    <w:p w:rsidR="005C37B6" w:rsidRDefault="005C37B6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="00337313">
        <w:rPr>
          <w:rFonts w:ascii="Times New Roman" w:hAnsi="Times New Roman" w:cs="Times New Roman"/>
          <w:color w:val="000000"/>
        </w:rPr>
        <w:t>W przypadku, gdy uczeń jest nieobecny na sprawdzianie predyspozycji językowych z przyczyn usprawiedliwionych, może napisać go w innym terminie uzgodnionym z jego rodzicami, nie później jednak niż do zakończenia zajęć dydaktycznych danego roku szkolnego.</w:t>
      </w:r>
    </w:p>
    <w:p w:rsidR="00CB5CEF" w:rsidRDefault="005C37B6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 w:rsidR="00337313">
        <w:rPr>
          <w:rFonts w:ascii="Times New Roman" w:hAnsi="Times New Roman" w:cs="Times New Roman"/>
          <w:color w:val="000000"/>
        </w:rPr>
        <w:t xml:space="preserve"> Postępowanie uzupełniające powinno zakończyć się do końca sierpnia roku szkolnego.</w:t>
      </w:r>
    </w:p>
    <w:p w:rsidR="00CB5CEF" w:rsidRDefault="00CB5CEF" w:rsidP="005C37B6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:rsidR="00CB5CEF" w:rsidRDefault="00337313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 Wymagane dokumenty</w:t>
      </w:r>
    </w:p>
    <w:p w:rsidR="00CB5CEF" w:rsidRDefault="00CB5CE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B5CEF" w:rsidRDefault="0033731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C7ADD">
        <w:rPr>
          <w:rFonts w:ascii="Times New Roman" w:hAnsi="Times New Roman" w:cs="Times New Roman"/>
        </w:rPr>
        <w:t>Deklaracja przystąpienia do sprawdzianu predyspozycji językowych</w:t>
      </w:r>
      <w:r w:rsidR="00641A42">
        <w:rPr>
          <w:rFonts w:ascii="Times New Roman" w:hAnsi="Times New Roman" w:cs="Times New Roman"/>
        </w:rPr>
        <w:t xml:space="preserve"> i oświadczenie</w:t>
      </w:r>
      <w:r>
        <w:rPr>
          <w:rFonts w:ascii="Times New Roman" w:hAnsi="Times New Roman" w:cs="Times New Roman"/>
        </w:rPr>
        <w:t>, pobran</w:t>
      </w:r>
      <w:r w:rsidR="00AC7A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ze strony szkoły lub w sekretariacie szkoły</w:t>
      </w:r>
      <w:r w:rsidR="00641A42">
        <w:rPr>
          <w:rFonts w:ascii="Times New Roman" w:hAnsi="Times New Roman" w:cs="Times New Roman"/>
        </w:rPr>
        <w:t xml:space="preserve"> </w:t>
      </w:r>
      <w:r w:rsidR="00AE3B10">
        <w:rPr>
          <w:rFonts w:ascii="Times New Roman" w:hAnsi="Times New Roman" w:cs="Times New Roman"/>
        </w:rPr>
        <w:t xml:space="preserve">(załącznik nr </w:t>
      </w:r>
      <w:r w:rsidR="0090601E">
        <w:rPr>
          <w:rFonts w:ascii="Times New Roman" w:hAnsi="Times New Roman" w:cs="Times New Roman"/>
        </w:rPr>
        <w:t>2</w:t>
      </w:r>
      <w:r w:rsidR="00AE3B10">
        <w:rPr>
          <w:rFonts w:ascii="Times New Roman" w:hAnsi="Times New Roman" w:cs="Times New Roman"/>
        </w:rPr>
        <w:t>,</w:t>
      </w:r>
      <w:r w:rsidR="0090601E">
        <w:rPr>
          <w:rFonts w:ascii="Times New Roman" w:hAnsi="Times New Roman" w:cs="Times New Roman"/>
        </w:rPr>
        <w:t>3</w:t>
      </w:r>
      <w:bookmarkStart w:id="0" w:name="_GoBack"/>
      <w:bookmarkEnd w:id="0"/>
      <w:r w:rsidR="00AE3B10">
        <w:rPr>
          <w:rFonts w:ascii="Times New Roman" w:hAnsi="Times New Roman" w:cs="Times New Roman"/>
        </w:rPr>
        <w:t>)</w:t>
      </w:r>
    </w:p>
    <w:p w:rsidR="00CB5CEF" w:rsidRDefault="0033731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Ksero świadectwa do klasy VII</w:t>
      </w:r>
      <w:r w:rsidR="005C37B6">
        <w:rPr>
          <w:rFonts w:ascii="Times New Roman" w:hAnsi="Times New Roman" w:cs="Times New Roman"/>
        </w:rPr>
        <w:t>.</w:t>
      </w:r>
    </w:p>
    <w:p w:rsidR="00F7070E" w:rsidRDefault="00F7070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Kandydaci, którzy są laureatami konkursu kuratoryjnego lub innych ogólnopolskich konkursów z języka angielskiego składają kopię ksero dyplomu potwierdzającego  zdobyty tytuł.</w:t>
      </w:r>
    </w:p>
    <w:p w:rsidR="00AE3B10" w:rsidRDefault="00AE3B1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Oświadczenie woli przyjęcia do szkoły (po zakończonym procesie rekrutacji). (załącznik nr </w:t>
      </w:r>
      <w:r w:rsidR="0090601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</w:p>
    <w:p w:rsidR="00CB5CEF" w:rsidRDefault="0033731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070E" w:rsidRDefault="00F7070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B5CEF" w:rsidRDefault="00337313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§ 4 Warunki przeprowadzania sprawdzianu predyspozycji językowych</w:t>
      </w:r>
    </w:p>
    <w:p w:rsidR="00CB5CEF" w:rsidRDefault="00CB5CE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B5CEF" w:rsidRDefault="0033731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Sprawdzian jest diagnozą predyspozycji ucznia do nauki języka obcego i nauki wybranych przedmiotów w tym języku.</w:t>
      </w:r>
    </w:p>
    <w:p w:rsidR="00CB5CEF" w:rsidRDefault="0033731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Sprawdzian składa się z części pisemnej i z części ustnej. Część pisemna trwa 60 minut.</w:t>
      </w:r>
    </w:p>
    <w:p w:rsidR="00CB5CEF" w:rsidRDefault="0033731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Kandydaci przystępują do sprawdzianu predyspozycji językowych w Szkole Podstawowej nr 21 w Rzeszowie  w terminie podanym przez szkołę i określonym w terminarzu.</w:t>
      </w:r>
    </w:p>
    <w:p w:rsidR="00CB5CEF" w:rsidRDefault="0033731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Kandydat zobowiązany jest przynieść aktualną legitymacje szkolną.</w:t>
      </w:r>
    </w:p>
    <w:p w:rsidR="00CB5CEF" w:rsidRDefault="00337313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5. Sprawdzian przeprowadzany jest w języku angielskim, zawiera zadania językowe zamknięte i otwarte na poziomie klasy VI szkoły podstawowej oraz zadania badające ogólne predyspozycje językowe. Zakres wymagań do egzaminu kwalifikacyjnego zostanie umieszczony</w:t>
      </w:r>
      <w:r>
        <w:rPr>
          <w:rFonts w:ascii="Times New Roman" w:eastAsia="Times New Roman" w:hAnsi="Times New Roman" w:cs="Times New Roman"/>
          <w:color w:val="1C1C1C"/>
        </w:rPr>
        <w:t xml:space="preserve"> wcześniej na stronie internetowej Szkoły Podstawowej nr 21 w Rzeszowie.</w:t>
      </w:r>
    </w:p>
    <w:p w:rsidR="00CB5CEF" w:rsidRDefault="0033731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Do sprawdzianu muszą przystąpić wszyscy kandydaci do oddziału dwujęzycznego.</w:t>
      </w:r>
    </w:p>
    <w:p w:rsidR="00CB5CEF" w:rsidRDefault="0033731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Ze sprawdzianu można zdobyć maksymalnie 100 punktów.</w:t>
      </w:r>
    </w:p>
    <w:p w:rsidR="00CB5CEF" w:rsidRDefault="0033731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Ilość punktów uzyskanych na sprawdzanie:</w:t>
      </w:r>
    </w:p>
    <w:p w:rsidR="00CB5CEF" w:rsidRDefault="0033731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pisemny sprawdzian predyspozycji językowych – 80 punktów</w:t>
      </w:r>
    </w:p>
    <w:p w:rsidR="00CB5CEF" w:rsidRDefault="003373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ustny egzamin – 20 punktów</w:t>
      </w:r>
    </w:p>
    <w:p w:rsidR="00CB5CEF" w:rsidRDefault="0033731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Za pozytywny wynik sprawdzianu uznaje się 75% z części pisemnej.</w:t>
      </w:r>
    </w:p>
    <w:p w:rsidR="00CB5CEF" w:rsidRDefault="00CB5CE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B5CEF" w:rsidRDefault="00CB5CE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B5CEF" w:rsidRDefault="00337313">
      <w:pPr>
        <w:pStyle w:val="Standard"/>
        <w:spacing w:line="360" w:lineRule="auto"/>
        <w:jc w:val="center"/>
        <w:rPr>
          <w:rFonts w:hint="eastAsia"/>
        </w:rPr>
      </w:pPr>
      <w:bookmarkStart w:id="1" w:name="_Hlk22659241"/>
      <w:bookmarkStart w:id="2" w:name="_Hlk22657783"/>
      <w:r>
        <w:rPr>
          <w:rFonts w:ascii="Times New Roman" w:hAnsi="Times New Roman" w:cs="Times New Roman"/>
          <w:b/>
          <w:color w:val="000000"/>
        </w:rPr>
        <w:t>§</w:t>
      </w:r>
      <w:bookmarkEnd w:id="1"/>
      <w:r>
        <w:rPr>
          <w:rFonts w:ascii="Times New Roman" w:hAnsi="Times New Roman" w:cs="Times New Roman"/>
          <w:b/>
          <w:color w:val="000000"/>
        </w:rPr>
        <w:t xml:space="preserve"> </w:t>
      </w:r>
      <w:bookmarkEnd w:id="2"/>
      <w:r w:rsidR="005C37B6">
        <w:rPr>
          <w:rFonts w:ascii="Times New Roman" w:hAnsi="Times New Roman" w:cs="Times New Roman"/>
          <w:b/>
          <w:color w:val="000000"/>
        </w:rPr>
        <w:t>5</w:t>
      </w:r>
      <w:r>
        <w:rPr>
          <w:rFonts w:ascii="Times New Roman" w:hAnsi="Times New Roman" w:cs="Times New Roman"/>
          <w:b/>
          <w:color w:val="000000"/>
        </w:rPr>
        <w:t>. Kryteria rekrutacji</w:t>
      </w:r>
    </w:p>
    <w:p w:rsidR="00CB5CEF" w:rsidRDefault="00CB5CE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B5CEF" w:rsidRDefault="0033731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1.Na rok szkolny 2020/2021 przeprowadza się postępowanie rekrutacyjne do oddziału dwujęzycznego utworzonego w klasie VII, w pierwszej kolejności przyjmuje się uczniów, którzy:</w:t>
      </w:r>
    </w:p>
    <w:p w:rsidR="00CB5CEF" w:rsidRDefault="0033731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uczniami Szkoły Podstawowej nr 21 im. Armii Krajowej w Rzeszowie</w:t>
      </w:r>
    </w:p>
    <w:p w:rsidR="00CB5CEF" w:rsidRDefault="00337313">
      <w:pPr>
        <w:pStyle w:val="Akapitzlist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otrzymali promocję do klasy VII </w:t>
      </w:r>
      <w:r>
        <w:rPr>
          <w:rFonts w:ascii="Times New Roman" w:hAnsi="Times New Roman" w:cs="Times New Roman"/>
          <w:color w:val="000000"/>
        </w:rPr>
        <w:t>szkoły podstawowej z wyróżnieniem</w:t>
      </w:r>
    </w:p>
    <w:p w:rsidR="00CB5CEF" w:rsidRDefault="0033731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uzyskali pozytywny wynik  sprawdzianu predyspozycji językowych, w części pisemnej (co najmniej 75%)  i w części ustnej, przeprowadzonych na warunkach ustalonych przez </w:t>
      </w:r>
      <w:r w:rsidR="005C37B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adę </w:t>
      </w:r>
      <w:r w:rsidR="005C37B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edagogiczną</w:t>
      </w:r>
    </w:p>
    <w:p w:rsidR="00CB5CEF" w:rsidRDefault="0033731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przypadku większej liczby kandydatów spełniających warunki, o których mowa w ust.1</w:t>
      </w:r>
      <w:r w:rsidR="00AC7ADD">
        <w:rPr>
          <w:rFonts w:ascii="Times New Roman" w:hAnsi="Times New Roman" w:cs="Times New Roman" w:hint="eastAsia"/>
        </w:rPr>
        <w:t xml:space="preserve"> </w:t>
      </w:r>
      <w:r w:rsidR="00AC7ADD">
        <w:rPr>
          <w:rFonts w:ascii="Times New Roman" w:hAnsi="Times New Roman" w:cs="Times New Roman"/>
        </w:rPr>
        <w:t>§</w:t>
      </w:r>
      <w:r w:rsidR="005C37B6">
        <w:rPr>
          <w:rFonts w:ascii="Times New Roman" w:hAnsi="Times New Roman" w:cs="Times New Roman"/>
        </w:rPr>
        <w:t>5</w:t>
      </w:r>
      <w:r w:rsidR="00AC7ADD">
        <w:rPr>
          <w:rFonts w:ascii="Times New Roman" w:hAnsi="Times New Roman" w:cs="Times New Roman"/>
        </w:rPr>
        <w:t>,</w:t>
      </w:r>
      <w:r w:rsidR="005C37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niż liczba miejsc w oddziale dwujęzycznym na pierwszym etapie postępowania rekrutacyjnego są brane pod uwagę łącznie następujące kryteria:</w:t>
      </w:r>
    </w:p>
    <w:p w:rsidR="00CB5CEF" w:rsidRDefault="003373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wynik  sprawdzianu predyspozycji językowych</w:t>
      </w:r>
    </w:p>
    <w:p w:rsidR="00CB5CEF" w:rsidRDefault="003373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wymienione na świadectwie promocyjnym do klasy VII szkoły podstawowej oceny z języka polskiego, matematyki i  języka obcego nowożytnego</w:t>
      </w:r>
    </w:p>
    <w:p w:rsidR="00CB5CEF" w:rsidRDefault="003373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świadectwo promocyjne do klasy VII szkoły podstawowej z wyróżnieniem</w:t>
      </w:r>
    </w:p>
    <w:p w:rsidR="00F7070E" w:rsidRDefault="00A7336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punkty dodatkowe za tytuł laureata konkursu kuratoryjnego lub innego konkursu ogólnopolskiego z języka angielskiego</w:t>
      </w:r>
    </w:p>
    <w:p w:rsidR="00CB5CEF" w:rsidRDefault="00A733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37313">
        <w:rPr>
          <w:rFonts w:ascii="Times New Roman" w:hAnsi="Times New Roman" w:cs="Times New Roman"/>
        </w:rPr>
        <w:t xml:space="preserve">. W postępowaniu rekrutacyjnym kandydat do oddziału dwujęzycznego może uzyskać maksymalnie </w:t>
      </w:r>
      <w:r w:rsidR="00F7070E" w:rsidRPr="00F7070E">
        <w:rPr>
          <w:rFonts w:ascii="Times New Roman" w:hAnsi="Times New Roman" w:cs="Times New Roman"/>
          <w:color w:val="000000" w:themeColor="text1"/>
        </w:rPr>
        <w:t xml:space="preserve">147 punktów  </w:t>
      </w:r>
      <w:r w:rsidR="00337313">
        <w:rPr>
          <w:rFonts w:ascii="Times New Roman" w:hAnsi="Times New Roman" w:cs="Times New Roman"/>
        </w:rPr>
        <w:t>(łącznie na pierwszym i drugim etapie rekrutacji)</w:t>
      </w:r>
    </w:p>
    <w:p w:rsidR="00CB5CEF" w:rsidRDefault="0033731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 może otrzymać punkty za :</w:t>
      </w:r>
    </w:p>
    <w:p w:rsidR="00CB5CEF" w:rsidRDefault="0033731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pisemny sprawdzian predyspozycji językowych – 80 punktów</w:t>
      </w:r>
    </w:p>
    <w:p w:rsidR="00CB5CEF" w:rsidRDefault="0033731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ustny egzamin – 20 punktów</w:t>
      </w:r>
    </w:p>
    <w:p w:rsidR="00CB5CEF" w:rsidRDefault="0033731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ze świadectwa promocyjnego do klasy VII z przedmiotów: język angielski, matematyka i język polski wyrażone w stopniu:</w:t>
      </w:r>
    </w:p>
    <w:p w:rsidR="00CB5CEF" w:rsidRDefault="0033731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celujący – przyznaje się 10 punktów</w:t>
      </w:r>
    </w:p>
    <w:p w:rsidR="00CB5CEF" w:rsidRDefault="0033731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bardzo dobry – przyznaje się 9 punktów</w:t>
      </w:r>
    </w:p>
    <w:p w:rsidR="00CB5CEF" w:rsidRDefault="0033731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dobry – przyznaje się 8 punktów</w:t>
      </w:r>
    </w:p>
    <w:p w:rsidR="00CB5CEF" w:rsidRDefault="0033731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dostateczny – przyznaje się 5 punktów</w:t>
      </w:r>
    </w:p>
    <w:p w:rsidR="00CB5CEF" w:rsidRDefault="0033731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dopuszczający – przyznaje się 3 punkty</w:t>
      </w:r>
    </w:p>
    <w:p w:rsidR="00CB5CEF" w:rsidRDefault="003373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świadectwo promocyjne do klasy VII z wyróżnieniem – 7 punktów</w:t>
      </w:r>
    </w:p>
    <w:p w:rsidR="00CB5CEF" w:rsidRDefault="0033731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laureatom konkursów z języka angielskiego o zasięgu ogólnopolskim i kuratoryjnym przyznaje się 10 punktów dodatkowych</w:t>
      </w:r>
      <w:r w:rsidR="00F7070E">
        <w:rPr>
          <w:rFonts w:ascii="Times New Roman" w:hAnsi="Times New Roman" w:cs="Times New Roman"/>
        </w:rPr>
        <w:t xml:space="preserve"> – należy złożyć kserokopie dyplomu potwierdzającego zdobyty tytuł).</w:t>
      </w:r>
    </w:p>
    <w:p w:rsidR="00F7070E" w:rsidRPr="00F7070E" w:rsidRDefault="00A7336B" w:rsidP="00F7070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7070E" w:rsidRPr="00F7070E">
        <w:rPr>
          <w:rFonts w:ascii="Times New Roman" w:hAnsi="Times New Roman" w:cs="Times New Roman"/>
        </w:rPr>
        <w:t xml:space="preserve">. W przypadku </w:t>
      </w:r>
      <w:r>
        <w:rPr>
          <w:rFonts w:ascii="Times New Roman" w:hAnsi="Times New Roman" w:cs="Times New Roman"/>
        </w:rPr>
        <w:t>równo</w:t>
      </w:r>
      <w:r w:rsidR="00F7070E" w:rsidRPr="00F7070E">
        <w:rPr>
          <w:rFonts w:ascii="Times New Roman" w:hAnsi="Times New Roman" w:cs="Times New Roman"/>
        </w:rPr>
        <w:t>rzędnych wyni</w:t>
      </w:r>
      <w:r>
        <w:rPr>
          <w:rFonts w:ascii="Times New Roman" w:hAnsi="Times New Roman" w:cs="Times New Roman"/>
        </w:rPr>
        <w:t>kó</w:t>
      </w:r>
      <w:r w:rsidR="00F7070E" w:rsidRPr="00F7070E">
        <w:rPr>
          <w:rFonts w:ascii="Times New Roman" w:hAnsi="Times New Roman" w:cs="Times New Roman"/>
        </w:rPr>
        <w:t>w uzyskanych na drugim etapie postępowania rekrutacyjnego lub jeśli po zako</w:t>
      </w:r>
      <w:r>
        <w:rPr>
          <w:rFonts w:ascii="Times New Roman" w:hAnsi="Times New Roman" w:cs="Times New Roman"/>
        </w:rPr>
        <w:t>ńc</w:t>
      </w:r>
      <w:r w:rsidR="00F7070E" w:rsidRPr="00F7070E">
        <w:rPr>
          <w:rFonts w:ascii="Times New Roman" w:hAnsi="Times New Roman" w:cs="Times New Roman"/>
        </w:rPr>
        <w:t>zeniu tego etapu dana szkoła nadal dysponuje wolnymi miejscami, na trzecim etapie postępowania rekrutacyjnego są brane pod uwagę łącznie kryteri</w:t>
      </w:r>
      <w:r w:rsidR="00F7070E" w:rsidRPr="00F7070E">
        <w:rPr>
          <w:rFonts w:ascii="Times New Roman" w:hAnsi="Times New Roman" w:cs="Times New Roman" w:hint="eastAsia"/>
        </w:rPr>
        <w:t>a:</w:t>
      </w:r>
    </w:p>
    <w:p w:rsidR="00F7070E" w:rsidRPr="00F7070E" w:rsidRDefault="00F7070E" w:rsidP="00F7070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bookmarkStart w:id="3" w:name="_Hlk22661709"/>
      <w:r w:rsidRPr="00F7070E">
        <w:rPr>
          <w:rFonts w:ascii="Times New Roman" w:hAnsi="Times New Roman" w:cs="Times New Roman"/>
        </w:rPr>
        <w:t>a)</w:t>
      </w:r>
      <w:r w:rsidRPr="00F7070E">
        <w:rPr>
          <w:rFonts w:ascii="Times New Roman" w:hAnsi="Times New Roman" w:cs="Times New Roman"/>
        </w:rPr>
        <w:tab/>
        <w:t>wielodzietność rodziny kandydata</w:t>
      </w:r>
    </w:p>
    <w:p w:rsidR="00F7070E" w:rsidRPr="00F7070E" w:rsidRDefault="00F7070E" w:rsidP="00F7070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F7070E">
        <w:rPr>
          <w:rFonts w:ascii="Times New Roman" w:hAnsi="Times New Roman" w:cs="Times New Roman"/>
        </w:rPr>
        <w:t>b)</w:t>
      </w:r>
      <w:r w:rsidRPr="00F7070E">
        <w:rPr>
          <w:rFonts w:ascii="Times New Roman" w:hAnsi="Times New Roman" w:cs="Times New Roman"/>
        </w:rPr>
        <w:tab/>
        <w:t>niepełnosprawność kandydata</w:t>
      </w:r>
    </w:p>
    <w:p w:rsidR="00F7070E" w:rsidRPr="00F7070E" w:rsidRDefault="00F7070E" w:rsidP="00F7070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F7070E">
        <w:rPr>
          <w:rFonts w:ascii="Times New Roman" w:hAnsi="Times New Roman" w:cs="Times New Roman"/>
        </w:rPr>
        <w:t>c)</w:t>
      </w:r>
      <w:r w:rsidRPr="00F7070E">
        <w:rPr>
          <w:rFonts w:ascii="Times New Roman" w:hAnsi="Times New Roman" w:cs="Times New Roman"/>
        </w:rPr>
        <w:tab/>
        <w:t>niepełnosprawność jednego z rodzi</w:t>
      </w:r>
      <w:r w:rsidR="00A7336B">
        <w:rPr>
          <w:rFonts w:ascii="Times New Roman" w:hAnsi="Times New Roman" w:cs="Times New Roman"/>
        </w:rPr>
        <w:t>có</w:t>
      </w:r>
      <w:r w:rsidRPr="00F7070E">
        <w:rPr>
          <w:rFonts w:ascii="Times New Roman" w:hAnsi="Times New Roman" w:cs="Times New Roman"/>
        </w:rPr>
        <w:t>w kandydata</w:t>
      </w:r>
    </w:p>
    <w:p w:rsidR="00F7070E" w:rsidRPr="00F7070E" w:rsidRDefault="00F7070E" w:rsidP="00F7070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F7070E">
        <w:rPr>
          <w:rFonts w:ascii="Times New Roman" w:hAnsi="Times New Roman" w:cs="Times New Roman"/>
        </w:rPr>
        <w:t>d)</w:t>
      </w:r>
      <w:r w:rsidRPr="00F7070E">
        <w:rPr>
          <w:rFonts w:ascii="Times New Roman" w:hAnsi="Times New Roman" w:cs="Times New Roman"/>
        </w:rPr>
        <w:tab/>
        <w:t>niepełnosprawność obojga rodzi</w:t>
      </w:r>
      <w:r w:rsidR="00A7336B">
        <w:rPr>
          <w:rFonts w:ascii="Times New Roman" w:hAnsi="Times New Roman" w:cs="Times New Roman"/>
        </w:rPr>
        <w:t>có</w:t>
      </w:r>
      <w:r w:rsidRPr="00F7070E">
        <w:rPr>
          <w:rFonts w:ascii="Times New Roman" w:hAnsi="Times New Roman" w:cs="Times New Roman"/>
        </w:rPr>
        <w:t>w kandydata</w:t>
      </w:r>
    </w:p>
    <w:p w:rsidR="00F7070E" w:rsidRPr="00F7070E" w:rsidRDefault="00F7070E" w:rsidP="00F7070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F7070E">
        <w:rPr>
          <w:rFonts w:ascii="Times New Roman" w:hAnsi="Times New Roman" w:cs="Times New Roman"/>
        </w:rPr>
        <w:t>e)</w:t>
      </w:r>
      <w:r w:rsidRPr="00F7070E">
        <w:rPr>
          <w:rFonts w:ascii="Times New Roman" w:hAnsi="Times New Roman" w:cs="Times New Roman"/>
        </w:rPr>
        <w:tab/>
        <w:t>niepełnosprawność rodz</w:t>
      </w:r>
      <w:r w:rsidR="00A7336B">
        <w:rPr>
          <w:rFonts w:ascii="Times New Roman" w:hAnsi="Times New Roman" w:cs="Times New Roman"/>
        </w:rPr>
        <w:t>eń</w:t>
      </w:r>
      <w:r w:rsidRPr="00F7070E">
        <w:rPr>
          <w:rFonts w:ascii="Times New Roman" w:hAnsi="Times New Roman" w:cs="Times New Roman"/>
        </w:rPr>
        <w:t>stwa kandydata</w:t>
      </w:r>
    </w:p>
    <w:p w:rsidR="00F7070E" w:rsidRPr="00F7070E" w:rsidRDefault="00F7070E" w:rsidP="00F7070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F7070E">
        <w:rPr>
          <w:rFonts w:ascii="Times New Roman" w:hAnsi="Times New Roman" w:cs="Times New Roman" w:hint="eastAsia"/>
        </w:rPr>
        <w:lastRenderedPageBreak/>
        <w:t>f)</w:t>
      </w:r>
      <w:r w:rsidRPr="00F7070E">
        <w:rPr>
          <w:rFonts w:ascii="Times New Roman" w:hAnsi="Times New Roman" w:cs="Times New Roman" w:hint="eastAsia"/>
        </w:rPr>
        <w:tab/>
        <w:t>samotne wychowywanie kandydata w rodzinie</w:t>
      </w:r>
    </w:p>
    <w:p w:rsidR="00F7070E" w:rsidRPr="00F7070E" w:rsidRDefault="00F7070E" w:rsidP="00F7070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F7070E">
        <w:rPr>
          <w:rFonts w:ascii="Times New Roman" w:hAnsi="Times New Roman" w:cs="Times New Roman"/>
        </w:rPr>
        <w:t>g)</w:t>
      </w:r>
      <w:r w:rsidRPr="00F7070E">
        <w:rPr>
          <w:rFonts w:ascii="Times New Roman" w:hAnsi="Times New Roman" w:cs="Times New Roman"/>
        </w:rPr>
        <w:tab/>
        <w:t>objęcie kandydata pieczą zastępczą</w:t>
      </w:r>
    </w:p>
    <w:bookmarkEnd w:id="3"/>
    <w:p w:rsidR="00F7070E" w:rsidRDefault="00F7070E" w:rsidP="00F7070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F7070E">
        <w:rPr>
          <w:rFonts w:ascii="Times New Roman" w:hAnsi="Times New Roman" w:cs="Times New Roman"/>
        </w:rPr>
        <w:t xml:space="preserve">Powyższe kryteria mają jednakową wartość </w:t>
      </w:r>
      <w:r w:rsidRPr="00F7070E">
        <w:rPr>
          <w:rFonts w:ascii="Times New Roman" w:hAnsi="Times New Roman" w:cs="Times New Roman" w:hint="eastAsia"/>
        </w:rPr>
        <w:t>–</w:t>
      </w:r>
      <w:r w:rsidRPr="00F7070E">
        <w:rPr>
          <w:rFonts w:ascii="Times New Roman" w:hAnsi="Times New Roman" w:cs="Times New Roman"/>
        </w:rPr>
        <w:t xml:space="preserve"> przyznaje się 1 punkt</w:t>
      </w:r>
    </w:p>
    <w:p w:rsidR="00CB5CEF" w:rsidRDefault="00AE3B10" w:rsidP="00AE3B10">
      <w:pPr>
        <w:pStyle w:val="Standard"/>
        <w:tabs>
          <w:tab w:val="left" w:pos="7155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E3B10" w:rsidRDefault="00AE3B10" w:rsidP="00AE3B10">
      <w:pPr>
        <w:pStyle w:val="Standard"/>
        <w:tabs>
          <w:tab w:val="left" w:pos="715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Po zakończeniu procesu rekrutacji i opublikowaniu przez komisje rekrutacyjną listy kandydatów zakwalifikowanych do klasy dwujęzycznej Rodzic kandydata składa oświadczenie woli przyjęcia do szkoły (załącznik nr </w:t>
      </w:r>
      <w:r w:rsidR="0090601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dostępne w sekretariacie lub na stronie internetowej szkoły. </w:t>
      </w:r>
    </w:p>
    <w:p w:rsidR="00AE3B10" w:rsidRDefault="00AE3B10" w:rsidP="00AE3B10">
      <w:pPr>
        <w:pStyle w:val="Standard"/>
        <w:tabs>
          <w:tab w:val="left" w:pos="71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B5CEF" w:rsidRDefault="00AE3B1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37313">
        <w:rPr>
          <w:rFonts w:ascii="Times New Roman" w:hAnsi="Times New Roman" w:cs="Times New Roman"/>
        </w:rPr>
        <w:t>.Wszystkie sprawy sporne wynikłe w trakcie rekrutacji rozstrzyga Dyrektor Szkoły w terminie do 7 dni od dnia ogłoszenia listy przyjętych do klasy dwujęzycznej, na pisemny wniosek rodziców.</w:t>
      </w:r>
    </w:p>
    <w:p w:rsidR="00CB5CEF" w:rsidRDefault="00CB5CE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B5CEF" w:rsidRDefault="00CB5CEF">
      <w:pPr>
        <w:pStyle w:val="Textbody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CB5CEF" w:rsidRDefault="00337313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5. Harmonogram rekrutacji</w:t>
      </w:r>
    </w:p>
    <w:p w:rsidR="00CB5CEF" w:rsidRDefault="0033731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rekrutacji stanowi załącznik</w:t>
      </w:r>
      <w:r w:rsidR="0090601E">
        <w:rPr>
          <w:rFonts w:ascii="Times New Roman" w:hAnsi="Times New Roman" w:cs="Times New Roman"/>
        </w:rPr>
        <w:t xml:space="preserve"> nr 1</w:t>
      </w:r>
      <w:r>
        <w:rPr>
          <w:rFonts w:ascii="Times New Roman" w:hAnsi="Times New Roman" w:cs="Times New Roman"/>
        </w:rPr>
        <w:t xml:space="preserve"> do powyższego regulaminu.</w:t>
      </w:r>
    </w:p>
    <w:p w:rsidR="00CB5CEF" w:rsidRDefault="00CB5CE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B5CEF" w:rsidRDefault="00337313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2F2F2F"/>
        </w:rPr>
      </w:pPr>
      <w:r>
        <w:rPr>
          <w:rFonts w:ascii="Times New Roman" w:hAnsi="Times New Roman" w:cs="Times New Roman"/>
          <w:color w:val="2F2F2F"/>
        </w:rPr>
        <w:t> </w:t>
      </w:r>
    </w:p>
    <w:p w:rsidR="00CB5CEF" w:rsidRDefault="00337313">
      <w:pPr>
        <w:pStyle w:val="Textbody"/>
        <w:spacing w:after="200" w:line="360" w:lineRule="auto"/>
        <w:jc w:val="both"/>
        <w:rPr>
          <w:rFonts w:ascii="Times New Roman" w:hAnsi="Times New Roman" w:cs="Times New Roman"/>
          <w:bCs/>
          <w:color w:val="2F2F2F"/>
        </w:rPr>
      </w:pPr>
      <w:r>
        <w:rPr>
          <w:rFonts w:ascii="Times New Roman" w:hAnsi="Times New Roman" w:cs="Times New Roman"/>
          <w:bCs/>
          <w:color w:val="2F2F2F"/>
        </w:rPr>
        <w:t>Regulamin wchodzi w życie z dniem</w:t>
      </w:r>
      <w:r w:rsidR="00A7336B">
        <w:rPr>
          <w:rFonts w:ascii="Times New Roman" w:hAnsi="Times New Roman" w:cs="Times New Roman"/>
          <w:bCs/>
          <w:color w:val="2F2F2F"/>
        </w:rPr>
        <w:t xml:space="preserve"> 30.08.2019</w:t>
      </w:r>
    </w:p>
    <w:p w:rsidR="00CB5CEF" w:rsidRDefault="00CB5CE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sectPr w:rsidR="00CB5CE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23B" w:rsidRDefault="00E1623B">
      <w:pPr>
        <w:rPr>
          <w:rFonts w:hint="eastAsia"/>
        </w:rPr>
      </w:pPr>
      <w:r>
        <w:separator/>
      </w:r>
    </w:p>
  </w:endnote>
  <w:endnote w:type="continuationSeparator" w:id="0">
    <w:p w:rsidR="00E1623B" w:rsidRDefault="00E162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23B" w:rsidRDefault="00E162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1623B" w:rsidRDefault="00E1623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683C"/>
    <w:multiLevelType w:val="multilevel"/>
    <w:tmpl w:val="17D6AB04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A19CD"/>
    <w:multiLevelType w:val="multilevel"/>
    <w:tmpl w:val="FFC83BD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245D"/>
    <w:multiLevelType w:val="multilevel"/>
    <w:tmpl w:val="5DB42D32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0128C"/>
    <w:multiLevelType w:val="multilevel"/>
    <w:tmpl w:val="7AB26EFA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8976C1"/>
    <w:multiLevelType w:val="multilevel"/>
    <w:tmpl w:val="3BFCBBDC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6001D99"/>
    <w:multiLevelType w:val="multilevel"/>
    <w:tmpl w:val="4A446B3E"/>
    <w:styleLink w:val="WWNum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EF"/>
    <w:rsid w:val="000A2496"/>
    <w:rsid w:val="001C49D0"/>
    <w:rsid w:val="00337313"/>
    <w:rsid w:val="003D44ED"/>
    <w:rsid w:val="00444765"/>
    <w:rsid w:val="005C37B6"/>
    <w:rsid w:val="00641A42"/>
    <w:rsid w:val="0090601E"/>
    <w:rsid w:val="00A7336B"/>
    <w:rsid w:val="00AC7ADD"/>
    <w:rsid w:val="00AE3B10"/>
    <w:rsid w:val="00B25B66"/>
    <w:rsid w:val="00CB5CEF"/>
    <w:rsid w:val="00E1623B"/>
    <w:rsid w:val="00F10A35"/>
    <w:rsid w:val="00F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94CC"/>
  <w15:docId w15:val="{D1C61D9E-B0F9-4B71-912C-B7BDE946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numbering" w:customStyle="1" w:styleId="WWNum4">
    <w:name w:val="WWNum4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Agniesia</cp:lastModifiedBy>
  <cp:revision>10</cp:revision>
  <dcterms:created xsi:type="dcterms:W3CDTF">2019-09-15T18:46:00Z</dcterms:created>
  <dcterms:modified xsi:type="dcterms:W3CDTF">2019-10-22T16:57:00Z</dcterms:modified>
</cp:coreProperties>
</file>