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76" w:rsidRDefault="00B33F76" w:rsidP="00B33F76">
      <w:pPr>
        <w:spacing w:line="300" w:lineRule="exact"/>
        <w:jc w:val="right"/>
        <w:outlineLvl w:val="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Załącznik Nr 1 do </w:t>
      </w:r>
      <w:r w:rsidR="007947D2">
        <w:rPr>
          <w:rFonts w:asciiTheme="minorHAnsi" w:hAnsiTheme="minorHAnsi"/>
          <w:b/>
          <w:bCs/>
          <w:sz w:val="18"/>
          <w:szCs w:val="18"/>
        </w:rPr>
        <w:t>Zarządzenia nr 9/2023</w:t>
      </w:r>
    </w:p>
    <w:p w:rsidR="00945D47" w:rsidRDefault="00B33F76" w:rsidP="00B33F76">
      <w:pPr>
        <w:spacing w:line="300" w:lineRule="exact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Dyrektora Szkoły Podstawowej nr 21</w:t>
      </w:r>
    </w:p>
    <w:p w:rsidR="006D0BF9" w:rsidRDefault="00B33F76" w:rsidP="00B33F76">
      <w:pPr>
        <w:spacing w:line="300" w:lineRule="exact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945D47">
        <w:rPr>
          <w:rFonts w:asciiTheme="minorHAnsi" w:hAnsiTheme="minorHAnsi"/>
          <w:b/>
          <w:sz w:val="18"/>
          <w:szCs w:val="18"/>
        </w:rPr>
        <w:t xml:space="preserve">z Oddziałami Dwujęzycznymi </w:t>
      </w:r>
    </w:p>
    <w:p w:rsidR="00B33F76" w:rsidRDefault="006D0BF9" w:rsidP="00B33F76">
      <w:pPr>
        <w:spacing w:line="300" w:lineRule="exact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im. Armii Krajowej </w:t>
      </w:r>
      <w:r w:rsidR="00B33F76">
        <w:rPr>
          <w:rFonts w:asciiTheme="minorHAnsi" w:hAnsiTheme="minorHAnsi"/>
          <w:b/>
          <w:sz w:val="18"/>
          <w:szCs w:val="18"/>
        </w:rPr>
        <w:t xml:space="preserve">w Rzeszowie </w:t>
      </w:r>
    </w:p>
    <w:p w:rsidR="00B33F76" w:rsidRDefault="00BA4186" w:rsidP="00B33F76">
      <w:pPr>
        <w:spacing w:line="300" w:lineRule="exact"/>
        <w:jc w:val="right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z dnia </w:t>
      </w:r>
      <w:r w:rsidR="007947D2">
        <w:rPr>
          <w:rFonts w:asciiTheme="minorHAnsi" w:hAnsiTheme="minorHAnsi"/>
          <w:b/>
          <w:bCs/>
          <w:sz w:val="18"/>
          <w:szCs w:val="18"/>
        </w:rPr>
        <w:t>18</w:t>
      </w:r>
      <w:r>
        <w:rPr>
          <w:rFonts w:asciiTheme="minorHAnsi" w:hAnsiTheme="minorHAnsi"/>
          <w:b/>
          <w:bCs/>
          <w:sz w:val="18"/>
          <w:szCs w:val="18"/>
        </w:rPr>
        <w:t>.0</w:t>
      </w:r>
      <w:r w:rsidR="007947D2">
        <w:rPr>
          <w:rFonts w:asciiTheme="minorHAnsi" w:hAnsiTheme="minorHAnsi"/>
          <w:b/>
          <w:bCs/>
          <w:sz w:val="18"/>
          <w:szCs w:val="18"/>
        </w:rPr>
        <w:t>8.2023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B33F76">
        <w:rPr>
          <w:rFonts w:asciiTheme="minorHAnsi" w:hAnsiTheme="minorHAnsi"/>
          <w:b/>
          <w:bCs/>
          <w:sz w:val="18"/>
          <w:szCs w:val="18"/>
        </w:rPr>
        <w:t>roku</w:t>
      </w: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REGULAMIN</w:t>
      </w: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wynajmowania i korzystania </w:t>
      </w: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 obiektów i pomieszczeń</w:t>
      </w:r>
    </w:p>
    <w:p w:rsidR="00B33F76" w:rsidRPr="00166881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 w:rsidRPr="00166881">
        <w:rPr>
          <w:rFonts w:asciiTheme="minorHAnsi" w:hAnsiTheme="minorHAnsi"/>
          <w:b/>
          <w:sz w:val="36"/>
          <w:szCs w:val="36"/>
        </w:rPr>
        <w:t>w Szkole Podstawowej nr 21</w:t>
      </w:r>
      <w:r w:rsidR="009A500B">
        <w:rPr>
          <w:rFonts w:asciiTheme="minorHAnsi" w:hAnsiTheme="minorHAnsi"/>
          <w:b/>
          <w:sz w:val="36"/>
          <w:szCs w:val="36"/>
        </w:rPr>
        <w:t xml:space="preserve"> z Oddziałami Dwujęzycznymi </w:t>
      </w:r>
      <w:r w:rsidRPr="00166881">
        <w:rPr>
          <w:rFonts w:asciiTheme="minorHAnsi" w:hAnsiTheme="minorHAnsi"/>
          <w:b/>
          <w:sz w:val="36"/>
          <w:szCs w:val="36"/>
        </w:rPr>
        <w:t xml:space="preserve"> </w:t>
      </w:r>
      <w:r w:rsidR="006D0BF9">
        <w:rPr>
          <w:rFonts w:asciiTheme="minorHAnsi" w:hAnsiTheme="minorHAnsi"/>
          <w:b/>
          <w:sz w:val="36"/>
          <w:szCs w:val="36"/>
        </w:rPr>
        <w:t xml:space="preserve">im. Armii Krajowej </w:t>
      </w:r>
      <w:r w:rsidRPr="00166881">
        <w:rPr>
          <w:rFonts w:asciiTheme="minorHAnsi" w:hAnsiTheme="minorHAnsi"/>
          <w:b/>
          <w:sz w:val="36"/>
          <w:szCs w:val="36"/>
        </w:rPr>
        <w:t>w Rzeszowie</w:t>
      </w:r>
    </w:p>
    <w:p w:rsidR="00D43731" w:rsidRDefault="006D0BF9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t>§ 1</w:t>
      </w:r>
    </w:p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t>Postanowienia ogólne</w:t>
      </w:r>
      <w:bookmarkStart w:id="0" w:name="_GoBack"/>
      <w:bookmarkEnd w:id="0"/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 w:rsidRPr="00166881">
        <w:rPr>
          <w:rFonts w:asciiTheme="minorHAnsi" w:hAnsiTheme="minorHAnsi"/>
          <w:sz w:val="22"/>
          <w:szCs w:val="22"/>
        </w:rPr>
        <w:t>Wynajmującym obiekty i pomieszczenia znajdujące się na nieruchomości oddanej jednostce oświatowej w trwały zarząd jest G</w:t>
      </w:r>
      <w:r>
        <w:rPr>
          <w:rFonts w:asciiTheme="minorHAnsi" w:hAnsiTheme="minorHAnsi"/>
          <w:sz w:val="22"/>
          <w:szCs w:val="22"/>
        </w:rPr>
        <w:t xml:space="preserve">mina Miasto Rzeszów – Szkoła Podstawowa nr 21 </w:t>
      </w:r>
      <w:r w:rsidR="009A500B">
        <w:rPr>
          <w:rFonts w:asciiTheme="minorHAnsi" w:hAnsiTheme="minorHAnsi"/>
          <w:sz w:val="22"/>
          <w:szCs w:val="22"/>
        </w:rPr>
        <w:t xml:space="preserve">z Oddziałami Dwujęzycznymi </w:t>
      </w:r>
      <w:r w:rsidR="006D0BF9">
        <w:rPr>
          <w:rFonts w:asciiTheme="minorHAnsi" w:hAnsiTheme="minorHAnsi"/>
          <w:sz w:val="22"/>
          <w:szCs w:val="22"/>
        </w:rPr>
        <w:t xml:space="preserve">im. Armii Krajowej </w:t>
      </w:r>
      <w:r w:rsidRPr="00166881">
        <w:rPr>
          <w:rFonts w:asciiTheme="minorHAnsi" w:hAnsiTheme="minorHAnsi"/>
          <w:sz w:val="22"/>
          <w:szCs w:val="22"/>
        </w:rPr>
        <w:t>reprezentowana przez Dyrektora jednostki oświatowej.</w:t>
      </w:r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przedmiot najmu należy rozumieć pomieszczenie (obiekt, powierzchnię), które zostało określone w umowie zawartej pomiędzy wynajmującym a najemcą. </w:t>
      </w:r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Wynajmujący oświadcza, iż – na podstawie decyzji Prezydenta Miasta Rzeszowa – Szkoła Podstawowa nr 21 </w:t>
      </w:r>
      <w:r w:rsidR="009A500B">
        <w:rPr>
          <w:rFonts w:asciiTheme="minorHAnsi" w:hAnsiTheme="minorHAnsi"/>
          <w:sz w:val="22"/>
          <w:szCs w:val="22"/>
        </w:rPr>
        <w:t xml:space="preserve">z Oddziałami Dwujęzycznymi </w:t>
      </w:r>
      <w:r w:rsidR="006D0BF9">
        <w:rPr>
          <w:rFonts w:asciiTheme="minorHAnsi" w:hAnsiTheme="minorHAnsi"/>
          <w:sz w:val="22"/>
          <w:szCs w:val="22"/>
        </w:rPr>
        <w:t xml:space="preserve">im. Armii Krajowej </w:t>
      </w:r>
      <w:r>
        <w:rPr>
          <w:rFonts w:asciiTheme="minorHAnsi" w:hAnsiTheme="minorHAnsi"/>
          <w:sz w:val="22"/>
          <w:szCs w:val="22"/>
        </w:rPr>
        <w:t xml:space="preserve">w Rzeszowie jest trwałym zarządcą nieruchomości. </w:t>
      </w:r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Wynajmujący informuje, że zawarcie umowy najmu skutkuje powstaniem obowiązku podatkowego z tytułu podatku od nieruchomości i obowiązkiem złożenia do organu podatkowego – Prezydenta Miasta Rzeszowa – informacji podatkowej. </w:t>
      </w:r>
    </w:p>
    <w:p w:rsidR="00B33F76" w:rsidRPr="00B33F76" w:rsidRDefault="00B33F76" w:rsidP="00B33F76">
      <w:pPr>
        <w:pStyle w:val="Akapitzlist"/>
        <w:keepNext/>
        <w:numPr>
          <w:ilvl w:val="0"/>
          <w:numId w:val="1"/>
        </w:numPr>
        <w:spacing w:line="36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33F76">
        <w:rPr>
          <w:rFonts w:asciiTheme="minorHAnsi" w:hAnsiTheme="minorHAnsi"/>
          <w:sz w:val="22"/>
          <w:szCs w:val="22"/>
        </w:rPr>
        <w:t>Obiekty i pomieszczenia szkolne wynajmowane są na podstawie umowy zawartej pomiędzy wynajmującym a najemcą. Niniejszy regulamin zawiera warunki dotyczące wynajmowania</w:t>
      </w:r>
      <w:r>
        <w:rPr>
          <w:rFonts w:asciiTheme="minorHAnsi" w:hAnsiTheme="minorHAnsi"/>
          <w:sz w:val="22"/>
          <w:szCs w:val="22"/>
        </w:rPr>
        <w:t xml:space="preserve"> obiektów i pomieszczeń szkolnych, stawki opłat i zasady rozliczeń oraz szczegółowe zasady </w:t>
      </w:r>
      <w:r w:rsidRPr="00B33F76">
        <w:rPr>
          <w:rFonts w:asciiTheme="minorHAnsi" w:hAnsiTheme="minorHAnsi" w:cstheme="minorHAnsi"/>
          <w:sz w:val="22"/>
          <w:szCs w:val="22"/>
        </w:rPr>
        <w:t xml:space="preserve">odpowiedzialności za używanie pomieszczeń. </w:t>
      </w:r>
    </w:p>
    <w:p w:rsidR="00B33F76" w:rsidRDefault="00B33F76" w:rsidP="00B33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F76">
        <w:rPr>
          <w:rFonts w:asciiTheme="minorHAnsi" w:hAnsiTheme="minorHAnsi" w:cstheme="minorHAnsi"/>
          <w:sz w:val="22"/>
          <w:szCs w:val="22"/>
        </w:rPr>
        <w:t xml:space="preserve">Wraz z wynajmem obiektów i pomieszczeń, w czasie trwania wynajmu, najemca uzyskuje możliwość korzystania z powierzchni wspólnych (ciągi komunikacyjne w budynkach, wyznaczone szatnie i toalety, chodniki i place). </w:t>
      </w:r>
    </w:p>
    <w:p w:rsidR="00B33F76" w:rsidRDefault="00B33F76" w:rsidP="00B33F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t>§ 2</w:t>
      </w:r>
    </w:p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t>Dni wynajmu</w:t>
      </w:r>
    </w:p>
    <w:p w:rsidR="00B33F76" w:rsidRDefault="00B33F76" w:rsidP="00B33F76">
      <w:pPr>
        <w:keepNext/>
        <w:keepLines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Obiekty i pomieszczenia szkolne są dostępne w dni wynajmu.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B33F76" w:rsidRDefault="00B33F76" w:rsidP="00B33F76">
      <w:pPr>
        <w:keepNext/>
        <w:keepLines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dni wynajmu rozumie się dni nauki szkolnej oraz dni wolne od nauki szkolnej, z wyjątkiem dni wolnych od pracy zgodnie z art. 1 ust 1 </w:t>
      </w:r>
      <w:r>
        <w:rPr>
          <w:rFonts w:asciiTheme="minorHAnsi" w:hAnsiTheme="minorHAnsi" w:cs="A"/>
          <w:bCs/>
          <w:sz w:val="22"/>
          <w:szCs w:val="22"/>
        </w:rPr>
        <w:t xml:space="preserve">ustawy </w:t>
      </w:r>
      <w:r>
        <w:rPr>
          <w:rFonts w:asciiTheme="minorHAnsi" w:hAnsiTheme="minorHAnsi" w:cs="A"/>
          <w:sz w:val="22"/>
          <w:szCs w:val="22"/>
        </w:rPr>
        <w:t xml:space="preserve">z dnia 18 stycznia 1951 r. </w:t>
      </w:r>
      <w:r>
        <w:rPr>
          <w:rFonts w:asciiTheme="minorHAnsi" w:hAnsiTheme="minorHAnsi" w:cs="A"/>
          <w:bCs/>
          <w:sz w:val="22"/>
          <w:szCs w:val="22"/>
        </w:rPr>
        <w:t>o dniach wolnych od pracy (Dz. U. 2020 poz. 1920).</w:t>
      </w:r>
    </w:p>
    <w:p w:rsidR="00B33F76" w:rsidRPr="00B33F76" w:rsidRDefault="00B33F76" w:rsidP="00B33F76">
      <w:pPr>
        <w:pStyle w:val="Akapitzlist"/>
        <w:keepNext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Jednostka oświatowa może wynajmować obiekty i pomieszczenia wskazane w niniejszym regulaminie na prowadzenie zajęć sportowo-rekreacyjnych, szkoleń, kursów, warsztatów, wystaw i prezentacji oraz wszelkich innych zajęć zgodnych z przepisami obowiązującego prawa, Statutem jednostki oraz niniejszym regulaminem, w godzinach i w dniach niekolidujących </w:t>
      </w:r>
      <w:r w:rsidR="00BA418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lastRenderedPageBreak/>
        <w:t>z odbywającymi się zajęciami edukacyjnymi i pozalekcyjnymi oraz uroczystościami oraz imprezami okolicznościowymi.</w:t>
      </w:r>
    </w:p>
    <w:p w:rsidR="00B33F76" w:rsidRDefault="00B33F76" w:rsidP="00B33F76">
      <w:pPr>
        <w:keepNext/>
        <w:keepLines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Obiekty i pomieszczenia wynajmowane są odpłatnie dla osób fizycznych, osób prawnych, jednostek organizacyjnych nieposiadających osobowości prawnej - zwanych  dalej „najemcą” - po zakończeniu lekcji i innych zadań statutowych jednostki oświatowej. </w:t>
      </w:r>
    </w:p>
    <w:p w:rsidR="00B33F76" w:rsidRPr="00B33F76" w:rsidRDefault="00B33F76" w:rsidP="00B33F76">
      <w:pPr>
        <w:numPr>
          <w:ilvl w:val="0"/>
          <w:numId w:val="2"/>
        </w:numPr>
        <w:tabs>
          <w:tab w:val="decimal" w:pos="432"/>
        </w:tabs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2"/>
        </w:rPr>
      </w:pPr>
      <w:r w:rsidRPr="00B33F76">
        <w:rPr>
          <w:rFonts w:asciiTheme="minorHAnsi" w:hAnsiTheme="minorHAnsi" w:cstheme="minorHAnsi"/>
          <w:color w:val="000000"/>
          <w:spacing w:val="-1"/>
          <w:w w:val="105"/>
          <w:sz w:val="22"/>
        </w:rPr>
        <w:t xml:space="preserve">Podstawą do korzystania z przedmiotu najmu przez najemcę jest zawarcie umowy </w:t>
      </w:r>
      <w:r w:rsidRPr="00B33F76">
        <w:rPr>
          <w:rFonts w:asciiTheme="minorHAnsi" w:hAnsiTheme="minorHAnsi" w:cstheme="minorHAnsi"/>
          <w:color w:val="000000"/>
          <w:spacing w:val="-6"/>
          <w:w w:val="105"/>
          <w:sz w:val="22"/>
        </w:rPr>
        <w:t>z wynajmującym.</w:t>
      </w:r>
    </w:p>
    <w:p w:rsidR="00B33F76" w:rsidRPr="00B33F76" w:rsidRDefault="00B33F76" w:rsidP="00B33F76">
      <w:pPr>
        <w:pStyle w:val="Akapitzlist"/>
        <w:keepNext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 w:cstheme="minorHAnsi"/>
          <w:b/>
          <w:sz w:val="20"/>
          <w:szCs w:val="22"/>
        </w:rPr>
      </w:pPr>
      <w:r w:rsidRPr="00B33F76">
        <w:rPr>
          <w:rFonts w:asciiTheme="minorHAnsi" w:hAnsiTheme="minorHAnsi" w:cstheme="minorHAnsi"/>
          <w:color w:val="000000"/>
          <w:spacing w:val="8"/>
          <w:w w:val="105"/>
          <w:sz w:val="22"/>
        </w:rPr>
        <w:t xml:space="preserve">W dniach nauki szkolnej obiekty i pomieszczenia oferowane są na wynajem </w:t>
      </w:r>
      <w:r>
        <w:rPr>
          <w:rFonts w:asciiTheme="minorHAnsi" w:hAnsiTheme="minorHAnsi" w:cstheme="minorHAnsi"/>
          <w:color w:val="000000"/>
          <w:spacing w:val="8"/>
          <w:w w:val="105"/>
          <w:sz w:val="22"/>
        </w:rPr>
        <w:br/>
      </w:r>
      <w:r w:rsidRPr="00B33F76">
        <w:rPr>
          <w:rFonts w:asciiTheme="minorHAnsi" w:hAnsiTheme="minorHAnsi" w:cstheme="minorHAnsi"/>
          <w:color w:val="000000"/>
          <w:spacing w:val="-5"/>
          <w:w w:val="105"/>
          <w:sz w:val="22"/>
        </w:rPr>
        <w:t xml:space="preserve">w godzinach wyznaczonych przez wynajmującego. </w:t>
      </w:r>
    </w:p>
    <w:p w:rsidR="00B33F76" w:rsidRPr="00B33F76" w:rsidRDefault="00B33F76" w:rsidP="00B33F76">
      <w:pPr>
        <w:pStyle w:val="Akapitzlist"/>
        <w:keepNext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 w:cstheme="minorHAnsi"/>
          <w:b/>
          <w:sz w:val="20"/>
          <w:szCs w:val="22"/>
        </w:rPr>
      </w:pPr>
      <w:r w:rsidRPr="00B33F76">
        <w:rPr>
          <w:rFonts w:asciiTheme="minorHAnsi" w:hAnsiTheme="minorHAnsi" w:cstheme="minorHAnsi"/>
          <w:color w:val="000000"/>
          <w:spacing w:val="-4"/>
          <w:w w:val="105"/>
          <w:sz w:val="22"/>
        </w:rPr>
        <w:t>W dniach wolnych od nauki szkolnej obiekty i pomieszczenia mogą być wynajmowane:</w:t>
      </w:r>
    </w:p>
    <w:p w:rsidR="00B33F76" w:rsidRPr="00B33F76" w:rsidRDefault="00B33F76" w:rsidP="00B33F76">
      <w:pPr>
        <w:pStyle w:val="Akapitzlist"/>
        <w:numPr>
          <w:ilvl w:val="0"/>
          <w:numId w:val="8"/>
        </w:numPr>
        <w:tabs>
          <w:tab w:val="decimal" w:pos="1152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8"/>
          <w:w w:val="105"/>
          <w:sz w:val="22"/>
        </w:rPr>
      </w:pPr>
      <w:r w:rsidRPr="00B33F76">
        <w:rPr>
          <w:rFonts w:asciiTheme="minorHAnsi" w:hAnsiTheme="minorHAnsi" w:cstheme="minorHAnsi"/>
          <w:color w:val="000000"/>
          <w:spacing w:val="8"/>
          <w:w w:val="105"/>
          <w:sz w:val="22"/>
        </w:rPr>
        <w:t>w każdą sobotę i niedzielę,</w:t>
      </w:r>
    </w:p>
    <w:p w:rsidR="00B33F76" w:rsidRPr="00B33F76" w:rsidRDefault="00B33F76" w:rsidP="00B33F76">
      <w:pPr>
        <w:numPr>
          <w:ilvl w:val="0"/>
          <w:numId w:val="8"/>
        </w:numPr>
        <w:tabs>
          <w:tab w:val="decimal" w:pos="1152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8"/>
          <w:w w:val="105"/>
          <w:sz w:val="22"/>
        </w:rPr>
      </w:pPr>
      <w:r w:rsidRPr="00B33F76">
        <w:rPr>
          <w:rFonts w:asciiTheme="minorHAnsi" w:hAnsiTheme="minorHAnsi" w:cstheme="minorHAnsi"/>
          <w:color w:val="000000"/>
          <w:spacing w:val="-8"/>
          <w:w w:val="105"/>
          <w:sz w:val="22"/>
        </w:rPr>
        <w:t xml:space="preserve">w okresie ferii letnich i zimowych – od poniedziałku do piątku, z wyjątkiem dni </w:t>
      </w:r>
      <w:r w:rsidRPr="00B33F76">
        <w:rPr>
          <w:rFonts w:asciiTheme="minorHAnsi" w:hAnsiTheme="minorHAnsi" w:cstheme="minorHAnsi"/>
          <w:color w:val="000000"/>
          <w:spacing w:val="-5"/>
          <w:w w:val="105"/>
          <w:sz w:val="22"/>
        </w:rPr>
        <w:t>wyznaczonych przez wynajmującego jako dni, w których będą odbywać się zajęcia dla uczniów; dni te będą traktowane jak dni nauki szkolnej.</w:t>
      </w:r>
    </w:p>
    <w:p w:rsidR="00B33F76" w:rsidRPr="00B33F76" w:rsidRDefault="00B33F76" w:rsidP="00B33F76">
      <w:pPr>
        <w:spacing w:before="252"/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t>§ 3</w:t>
      </w:r>
    </w:p>
    <w:p w:rsidR="00B33F76" w:rsidRDefault="00B33F76" w:rsidP="00B33F76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t>Wniosek o wynajem</w:t>
      </w:r>
    </w:p>
    <w:p w:rsidR="00B33F76" w:rsidRPr="00B33F76" w:rsidRDefault="00B33F76" w:rsidP="00B33F76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</w:p>
    <w:p w:rsidR="00B33F76" w:rsidRPr="00B33F76" w:rsidRDefault="00B33F76" w:rsidP="00B33F76">
      <w:pPr>
        <w:spacing w:line="360" w:lineRule="auto"/>
        <w:ind w:left="288" w:hanging="288"/>
        <w:jc w:val="both"/>
        <w:rPr>
          <w:rFonts w:asciiTheme="minorHAnsi" w:eastAsiaTheme="minorHAnsi" w:hAnsiTheme="minorHAnsi" w:cstheme="minorHAnsi"/>
          <w:color w:val="000000"/>
          <w:spacing w:val="-7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7"/>
          <w:sz w:val="22"/>
          <w:szCs w:val="22"/>
          <w:lang w:eastAsia="en-US"/>
        </w:rPr>
        <w:t xml:space="preserve">1. </w:t>
      </w:r>
      <w:r w:rsidRPr="00B33F76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Wynajmujący jest zobowiązany nie później niż do 30 września danego roku szkolnego </w:t>
      </w: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posiadać informację obejmującą: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wykaz dni wynajmu w roku szkolnym,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>godziny otwarcia jednostki oświatowej w dni nauki szkolnej,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  <w:t>godziny otwarcia jednostki oświatowej w dni wolne od nauki szkolnej,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godziny wynajmu w dni nauki szkolnej oraz w dni wolne od nauki szkolnej,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rodzaj obiektów i pomieszczeń przeznaczonych na wynajem oraz ich powierzchnię.</w:t>
      </w:r>
    </w:p>
    <w:p w:rsidR="00B33F76" w:rsidRPr="00B33F76" w:rsidRDefault="00B33F76" w:rsidP="00B33F76">
      <w:pPr>
        <w:spacing w:line="360" w:lineRule="auto"/>
        <w:ind w:left="288" w:hanging="288"/>
        <w:jc w:val="both"/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2. W celu zawarcia umowy najmu najemca zobowiązany jest złożyć do wynajmującego wniosek </w:t>
      </w:r>
      <w:r w:rsidR="00BA418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br/>
      </w:r>
      <w:r w:rsidRPr="00B33F7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o wynajem, który winien zawierać co najmniej:</w:t>
      </w:r>
    </w:p>
    <w:p w:rsidR="00B33F76" w:rsidRPr="00EA44FD" w:rsidRDefault="00B33F76" w:rsidP="00EA44FD">
      <w:pPr>
        <w:pStyle w:val="Akapitzlist"/>
        <w:numPr>
          <w:ilvl w:val="0"/>
          <w:numId w:val="10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imię i nazwisko (firmę) wnioskującego,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>adres zamieszkania/adres siedziby przedsiębiorcy,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>adres korespondencyjny (jeśli inny niż zamieszkania/siedziby),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informację, czy najemca jest podatnikiem VAT; jeżeli tak, należy podać NIP najemcy,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obiekt bądź pomieszczenie, jakie najemca ma chęć wynająć,</w:t>
      </w:r>
    </w:p>
    <w:p w:rsidR="00EA44FD" w:rsidRDefault="00B33F76" w:rsidP="00EA44FD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planowane dni i godziny wynajmu,</w:t>
      </w:r>
    </w:p>
    <w:p w:rsidR="00EA44FD" w:rsidRPr="00EA44FD" w:rsidRDefault="00B33F76" w:rsidP="00EA44FD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wskazanie osoby odpowiedzialnej za najem ze strony najemcy, wraz z numerem kontaktowym </w:t>
      </w:r>
    </w:p>
    <w:p w:rsidR="00B33F76" w:rsidRPr="00B33F76" w:rsidRDefault="00EA44FD" w:rsidP="00EA44FD">
      <w:p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        </w:t>
      </w:r>
      <w:r w:rsidR="00B33F76"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do tejże osoby.</w:t>
      </w:r>
    </w:p>
    <w:p w:rsidR="00EA44FD" w:rsidRPr="00EA44FD" w:rsidRDefault="00EA44FD" w:rsidP="00EA44FD">
      <w:pPr>
        <w:spacing w:before="216" w:line="264" w:lineRule="auto"/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lastRenderedPageBreak/>
        <w:t>§ 4</w:t>
      </w:r>
    </w:p>
    <w:p w:rsidR="00EA44FD" w:rsidRDefault="00EA44FD" w:rsidP="00EA44FD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t>Czynsz</w:t>
      </w:r>
    </w:p>
    <w:p w:rsidR="00EA44FD" w:rsidRPr="00EA44FD" w:rsidRDefault="00EA44FD" w:rsidP="00EA44FD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Podstawową jednostką dla ustalenia stawek czynszu dla powierzchni przeznaczonej </w:t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czasowo do wynajmu w wybranych dniach i godzinach jest jedna godzina zegarowa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(60 minut).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  <w:t xml:space="preserve">Czas wynajmu może stanowić ułamek bądź wielokrotność jednostki, o której mowa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w ust. 1.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before="72"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Pomieszczenia użytkowane wyłącznie przez najemcę lub użytkowane przez najemcę </w:t>
      </w:r>
      <w:r w:rsidRPr="00EA44FD">
        <w:rPr>
          <w:rFonts w:asciiTheme="minorHAnsi" w:eastAsiaTheme="minorHAnsi" w:hAnsiTheme="minorHAnsi" w:cstheme="minorHAnsi"/>
          <w:color w:val="000000"/>
          <w:spacing w:val="3"/>
          <w:w w:val="105"/>
          <w:sz w:val="22"/>
          <w:szCs w:val="22"/>
          <w:lang w:eastAsia="en-US"/>
        </w:rPr>
        <w:t xml:space="preserve">przez ponad 6 godzin dziennie – stawka czynszu jest ustalana za jeden metr 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>kwadratowy (m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10"/>
          <w:sz w:val="22"/>
          <w:szCs w:val="22"/>
          <w:vertAlign w:val="superscript"/>
          <w:lang w:eastAsia="en-US"/>
        </w:rPr>
        <w:t>2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>).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Powierzchnia wynajmowana pod automaty sprzedające – stawka czynszu jest ustalana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za jeden metr kwadratowy (m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10"/>
          <w:sz w:val="22"/>
          <w:szCs w:val="22"/>
          <w:vertAlign w:val="superscript"/>
          <w:lang w:eastAsia="en-US"/>
        </w:rPr>
        <w:t>2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) powierzchni użytkowej.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Sala gimnastyczna (hala sportowa) może być wynajmowana wyłącznie na godziny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zegarowe.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Pomieszczenia wspólne, o których mowa w § 1 ust. 6, są dostępne na 10 minut przed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rozpoczęciem czasu wynajmu, w trakcie trwania wynajmu, a także 15 minut po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zakończeniu wynajmu.</w:t>
      </w:r>
    </w:p>
    <w:p w:rsid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Jeśli najemca przekroczy czas pobytu w przedmiocie najmu lub w pomieszczeniach 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wspólnych, </w:t>
      </w:r>
      <w:r w:rsidR="00BA4186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o których mowa w § 1 ust. 6, jest zobowiązany do zapłaty czynszu za czas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przekroczenia, w wysokości podwójnego czynszu najmu, który zapłaciłby, gdyby miał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w tym czasie prawo najmu.</w:t>
      </w:r>
    </w:p>
    <w:p w:rsid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Czynsz najmu może ulec zmianie w związku ze zwiększeniem się całkowitych kosztów </w:t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eksploatacji przedmiotu najmu. W tym celu wynajmujący doręczy najemcy pisemną ofertę nowej wysokości czynszu w terminie najpóźniej 14 dni przed dniem, w którym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ma obowiązywać nowa wysokość czynszu.</w:t>
      </w:r>
    </w:p>
    <w:p w:rsidR="00EA44FD" w:rsidRPr="00EA44FD" w:rsidRDefault="00EA44FD" w:rsidP="0023245D">
      <w:pPr>
        <w:pStyle w:val="Akapitzlist"/>
        <w:numPr>
          <w:ilvl w:val="0"/>
          <w:numId w:val="12"/>
        </w:numPr>
        <w:tabs>
          <w:tab w:val="decimal" w:pos="432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Jeśli najemca w terminie 14 dni od otrzymania oferty nie zgodzi się na nią, umowa </w:t>
      </w:r>
      <w:r w:rsidRPr="00EA44F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najmu zostaje uznana za rozwiązaną wraz z upływem miesiąca kalendarzowego, </w:t>
      </w:r>
      <w:r w:rsidRPr="00EA44FD">
        <w:rPr>
          <w:rFonts w:asciiTheme="minorHAnsi" w:eastAsiaTheme="minorHAnsi" w:hAnsiTheme="minorHAnsi" w:cstheme="minorHAnsi"/>
          <w:color w:val="000000"/>
          <w:spacing w:val="2"/>
          <w:w w:val="105"/>
          <w:sz w:val="22"/>
          <w:szCs w:val="22"/>
          <w:lang w:eastAsia="en-US"/>
        </w:rPr>
        <w:t xml:space="preserve">w którym upływa 14. dzień od dnia doręczenia najemcy informacji o nowej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wysokości czynszu.</w:t>
      </w:r>
    </w:p>
    <w:p w:rsidR="0023245D" w:rsidRDefault="00EA44FD" w:rsidP="0023245D">
      <w:pPr>
        <w:numPr>
          <w:ilvl w:val="0"/>
          <w:numId w:val="12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Jeśli najemca w terminie 14 dni od otrzymania oferty zgodzi się na nią bądź na nią </w:t>
      </w:r>
      <w:r w:rsidRPr="00EA44FD">
        <w:rPr>
          <w:rFonts w:asciiTheme="minorHAnsi" w:eastAsiaTheme="minorHAnsi" w:hAnsiTheme="minorHAnsi" w:cstheme="minorHAnsi"/>
          <w:color w:val="000000"/>
          <w:spacing w:val="-11"/>
          <w:w w:val="105"/>
          <w:sz w:val="22"/>
          <w:szCs w:val="22"/>
          <w:lang w:eastAsia="en-US"/>
        </w:rPr>
        <w:t xml:space="preserve">nie odpowie, umowa najmu zostaje uznana za kontynuowaną, w wysokości czynszu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przedstawionej przez wynajmującego.</w:t>
      </w:r>
    </w:p>
    <w:p w:rsidR="00EA44FD" w:rsidRPr="0023245D" w:rsidRDefault="00EA44FD" w:rsidP="0023245D">
      <w:pPr>
        <w:pStyle w:val="Akapitzlist"/>
        <w:numPr>
          <w:ilvl w:val="0"/>
          <w:numId w:val="11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</w:pPr>
      <w:r w:rsidRPr="0023245D">
        <w:rPr>
          <w:rFonts w:asciiTheme="minorHAnsi" w:eastAsiaTheme="minorHAnsi" w:hAnsiTheme="minorHAnsi" w:cstheme="minorHAnsi"/>
          <w:color w:val="000000"/>
          <w:spacing w:val="-1"/>
          <w:w w:val="105"/>
          <w:sz w:val="22"/>
          <w:szCs w:val="22"/>
          <w:lang w:eastAsia="en-US"/>
        </w:rPr>
        <w:t xml:space="preserve">Jeżeli umowa zostaje zawarta na okres dłuższy niż jeden rok budżetowy, stawka czynszu podlega obowiązkowej, corocznej waloryzacji zgodnie ze wskaźnikiem </w:t>
      </w:r>
      <w:r w:rsidRP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wzrostu cen, towarów i usług za rok mijający, zgodnie z komunikatem Prezesa </w:t>
      </w:r>
      <w:r w:rsidRPr="0023245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Głównego Urzędu Statystycznego.</w:t>
      </w:r>
    </w:p>
    <w:p w:rsidR="00EA44FD" w:rsidRPr="0023245D" w:rsidRDefault="00EA44FD" w:rsidP="0023245D">
      <w:pPr>
        <w:pStyle w:val="Akapitzlist"/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23245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Wyliczoną miesięczną stawkę czynszu netto zaokrągla się w górę do pełnych </w:t>
      </w:r>
      <w:r w:rsidRP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złotych.</w:t>
      </w:r>
    </w:p>
    <w:p w:rsidR="00EA44FD" w:rsidRPr="00EA44FD" w:rsidRDefault="00EA44FD" w:rsidP="0023245D">
      <w:pPr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Nowa stawka czynszu, po dokonanej waloryzacji, zostanie przedstawiona najemcy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przez wynajmującego w ciągu 14 dni od dnia ogłoszenia wskaźnika przez Prezesa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GUS.</w:t>
      </w:r>
    </w:p>
    <w:p w:rsidR="00EA44FD" w:rsidRPr="00EA44FD" w:rsidRDefault="00EA44FD" w:rsidP="0023245D">
      <w:pPr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 xml:space="preserve">Jeżeli najemca w terminie 14 dni od dnia otrzymania informacji o waloryzacji stawki </w:t>
      </w:r>
      <w:r w:rsidRPr="00EA44FD">
        <w:rPr>
          <w:rFonts w:asciiTheme="minorHAnsi" w:eastAsiaTheme="minorHAnsi" w:hAnsiTheme="minorHAnsi" w:cstheme="minorHAnsi"/>
          <w:color w:val="000000"/>
          <w:spacing w:val="-10"/>
          <w:w w:val="105"/>
          <w:sz w:val="22"/>
          <w:szCs w:val="22"/>
          <w:lang w:eastAsia="en-US"/>
        </w:rPr>
        <w:t xml:space="preserve">czynszu zgodzi się na nią bądź na nią nie odpowie, umowa najmu zostaje uznana za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kontynuowaną, w wysokości czynszu przedstawionej przez wynajmującego.</w:t>
      </w:r>
    </w:p>
    <w:p w:rsidR="00EA44FD" w:rsidRPr="00EA44FD" w:rsidRDefault="00EA44FD" w:rsidP="00EA44FD">
      <w:pPr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lastRenderedPageBreak/>
        <w:t xml:space="preserve">Jeżeli najemca w terminie 14 dni od dnia otrzymania informacji o waloryzacji stawki </w:t>
      </w:r>
      <w:r w:rsidRPr="00EA44FD">
        <w:rPr>
          <w:rFonts w:asciiTheme="minorHAnsi" w:eastAsiaTheme="minorHAnsi" w:hAnsiTheme="minorHAnsi" w:cstheme="minorHAnsi"/>
          <w:color w:val="000000"/>
          <w:spacing w:val="-1"/>
          <w:w w:val="105"/>
          <w:sz w:val="22"/>
          <w:szCs w:val="22"/>
          <w:lang w:eastAsia="en-US"/>
        </w:rPr>
        <w:t xml:space="preserve">czynszu nie zgodzi się na nią, umowa najmu zostaje uznana za rozwiązaną, wraz </w:t>
      </w:r>
      <w:r w:rsidRPr="00EA44FD">
        <w:rPr>
          <w:rFonts w:asciiTheme="minorHAnsi" w:eastAsiaTheme="minorHAnsi" w:hAnsiTheme="minorHAnsi" w:cstheme="minorHAnsi"/>
          <w:color w:val="000000"/>
          <w:spacing w:val="4"/>
          <w:w w:val="105"/>
          <w:sz w:val="22"/>
          <w:szCs w:val="22"/>
          <w:lang w:eastAsia="en-US"/>
        </w:rPr>
        <w:t xml:space="preserve">z upływem miesiąca kalendarzowego, w którym upływa 14. dzień od dnia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doręczenia najemcy informacji </w:t>
      </w:r>
      <w:r w:rsidR="00BA418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o nowej wysokości czynszu.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10. Faktura zostanie wystawiona nie później niż do 15. dnia miesiąca, następującego po miesiącu, </w:t>
      </w:r>
      <w:r w:rsidR="0023245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w którym miał miejsce wynajem.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2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2"/>
          <w:w w:val="105"/>
          <w:sz w:val="22"/>
          <w:szCs w:val="22"/>
          <w:lang w:eastAsia="en-US"/>
        </w:rPr>
        <w:t xml:space="preserve">11. Wynajmujący jest zobowiązany do wystawienia faktury zgodnie z umową oraz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harmonogramem do umowy.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12. Najemca zobowiązany jest do zapłaty prawidłowo wystawionej faktury, przelewem na </w:t>
      </w:r>
      <w:r w:rsidR="00BA4186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>konto nr</w:t>
      </w:r>
      <w:r w:rsidR="00BA4186" w:rsidRPr="00BA4186">
        <w:rPr>
          <w:rFonts w:asciiTheme="minorHAnsi" w:eastAsiaTheme="minorHAnsi" w:hAnsiTheme="minorHAnsi" w:cstheme="minorHAnsi"/>
          <w:color w:val="000000"/>
          <w:spacing w:val="-9"/>
          <w:w w:val="105"/>
          <w:sz w:val="20"/>
          <w:szCs w:val="22"/>
          <w:lang w:eastAsia="en-US"/>
        </w:rPr>
        <w:t xml:space="preserve"> </w:t>
      </w:r>
      <w:r w:rsidR="00BA4186" w:rsidRPr="00BA4186">
        <w:rPr>
          <w:rFonts w:asciiTheme="minorHAnsi" w:hAnsiTheme="minorHAnsi" w:cstheme="minorHAnsi"/>
          <w:sz w:val="22"/>
        </w:rPr>
        <w:t>23 1020 4391 0000 6202 0144 7069</w:t>
      </w:r>
      <w:r w:rsidRPr="00BA4186">
        <w:rPr>
          <w:rFonts w:asciiTheme="minorHAnsi" w:eastAsiaTheme="minorHAnsi" w:hAnsiTheme="minorHAnsi" w:cstheme="minorHAnsi"/>
          <w:color w:val="000000"/>
          <w:spacing w:val="-9"/>
          <w:w w:val="105"/>
          <w:sz w:val="20"/>
          <w:szCs w:val="22"/>
          <w:lang w:eastAsia="en-US"/>
        </w:rPr>
        <w:t xml:space="preserve"> </w:t>
      </w: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 xml:space="preserve">w ciągu 14 dni od dnia wystawienia faktury przez wynajmującego. </w:t>
      </w:r>
      <w:r w:rsidR="00BA4186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 xml:space="preserve">W tytule </w:t>
      </w:r>
      <w:r w:rsidRPr="00EA44F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przelewu należy podać dane najemcy, numer umowy najmu oraz numer faktury;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wystawcą fa</w:t>
      </w:r>
      <w:r w:rsid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ktury jest Szkoła Podstawowa nr 21</w:t>
      </w:r>
      <w:r w:rsidR="009A500B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 </w:t>
      </w:r>
      <w:r w:rsidR="009A500B">
        <w:rPr>
          <w:rFonts w:asciiTheme="minorHAnsi" w:hAnsiTheme="minorHAnsi"/>
          <w:sz w:val="22"/>
          <w:szCs w:val="22"/>
        </w:rPr>
        <w:t>z Oddziałami Dwujęzycznymi</w:t>
      </w:r>
      <w:r w:rsid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 </w:t>
      </w:r>
      <w:r w:rsidR="006D0BF9">
        <w:rPr>
          <w:rFonts w:asciiTheme="minorHAnsi" w:hAnsiTheme="minorHAnsi"/>
          <w:sz w:val="22"/>
          <w:szCs w:val="22"/>
        </w:rPr>
        <w:t xml:space="preserve">im. Armii Krajowej </w:t>
      </w:r>
      <w:r w:rsid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w Rzeszowie. 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3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3"/>
          <w:w w:val="105"/>
          <w:sz w:val="22"/>
          <w:szCs w:val="22"/>
          <w:lang w:eastAsia="en-US"/>
        </w:rPr>
        <w:t xml:space="preserve">13. Nieterminowe uregulowanie należności przez najemcę spowoduje naliczenie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ustawowych odsetek.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14. Datą zapłaty jest data wpływu należności na rachunek bankowy wynajmującego (data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uznania rachunku bankowego).</w:t>
      </w:r>
    </w:p>
    <w:p w:rsidR="00EA44FD" w:rsidRPr="00EA44FD" w:rsidRDefault="00EA44FD" w:rsidP="0023245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12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12"/>
          <w:w w:val="105"/>
          <w:sz w:val="22"/>
          <w:szCs w:val="22"/>
          <w:lang w:eastAsia="en-US"/>
        </w:rPr>
        <w:t xml:space="preserve">15. Koszty związane ze środkami na utrzymanie higieny i czystości w związku </w:t>
      </w:r>
      <w:r w:rsidR="0023245D">
        <w:rPr>
          <w:rFonts w:asciiTheme="minorHAnsi" w:eastAsiaTheme="minorHAnsi" w:hAnsiTheme="minorHAnsi" w:cstheme="minorHAnsi"/>
          <w:color w:val="000000"/>
          <w:spacing w:val="12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z zagrożeniem epidemią w pomieszczeniach użytkowanych przez najemcę ponosi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najemca.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16. Decyzją kierownika jednostki oświatowej stawka czynszu może zostać ustanowiona </w:t>
      </w: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w wysokości innej niż przewiduje wykaz stawek czynszu określony przez kierownika </w:t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>jednostki oświatowej.</w:t>
      </w:r>
    </w:p>
    <w:p w:rsidR="00E0145B" w:rsidRDefault="00E0145B" w:rsidP="00EA44FD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E0145B" w:rsidRPr="00E0145B" w:rsidRDefault="00E0145B" w:rsidP="00E0145B">
      <w:pPr>
        <w:spacing w:line="314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5</w:t>
      </w:r>
    </w:p>
    <w:p w:rsidR="00E0145B" w:rsidRDefault="00E0145B" w:rsidP="00E0145B">
      <w:pPr>
        <w:spacing w:line="296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Zakazy</w:t>
      </w:r>
    </w:p>
    <w:p w:rsidR="00E0145B" w:rsidRPr="00E0145B" w:rsidRDefault="00E0145B" w:rsidP="00E0145B">
      <w:pPr>
        <w:spacing w:line="296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Na terenie jednostki oświatowej obowiązuje zakaz:</w:t>
      </w:r>
    </w:p>
    <w:p w:rsidR="00E0145B" w:rsidRDefault="00E0145B" w:rsidP="00E0145B">
      <w:pPr>
        <w:pStyle w:val="Akapitzlist"/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spożywania napojów alkoholowych;</w:t>
      </w:r>
    </w:p>
    <w:p w:rsidR="00E0145B" w:rsidRPr="00E0145B" w:rsidRDefault="00E0145B" w:rsidP="00E0145B">
      <w:pPr>
        <w:pStyle w:val="Akapitzlist"/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  <w:t>palenia tytoniu;</w:t>
      </w:r>
    </w:p>
    <w:p w:rsidR="00E0145B" w:rsidRPr="00E0145B" w:rsidRDefault="00E0145B" w:rsidP="00E0145B">
      <w:pPr>
        <w:pStyle w:val="Akapitzlist"/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używania środków odurzających;</w:t>
      </w:r>
    </w:p>
    <w:p w:rsidR="00E0145B" w:rsidRPr="00E0145B" w:rsidRDefault="00E0145B" w:rsidP="00E0145B">
      <w:pPr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 xml:space="preserve">przebywania i wstępu osobom będącym pod wpływem alkoholu lub środków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odurzających.</w:t>
      </w:r>
    </w:p>
    <w:p w:rsidR="00E0145B" w:rsidRDefault="00E0145B" w:rsidP="00EA44FD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E0145B" w:rsidRPr="00E0145B" w:rsidRDefault="00E0145B" w:rsidP="00E0145B">
      <w:pPr>
        <w:spacing w:before="216" w:line="316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6</w:t>
      </w:r>
    </w:p>
    <w:p w:rsidR="00E0145B" w:rsidRDefault="00E0145B" w:rsidP="00E0145B">
      <w:pPr>
        <w:spacing w:line="296" w:lineRule="exact"/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  <w:t>Obowiązki stron</w:t>
      </w:r>
    </w:p>
    <w:p w:rsidR="00E0145B" w:rsidRPr="00E0145B" w:rsidRDefault="00E0145B" w:rsidP="00E0145B">
      <w:pPr>
        <w:spacing w:line="360" w:lineRule="auto"/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>1. Obowiązkiem osób korzystających z obiektów i pomieszczeń szkolnych jest: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>pozostawienie okrycia zewnętrznego wraz z obuwiem w szatni,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lastRenderedPageBreak/>
        <w:t>przestrzeganie zasad bezpieczeństwa przy korzystaniu z pomieszczeń szkolnych,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utrzymanie porządku i czystości,</w:t>
      </w:r>
    </w:p>
    <w:p w:rsid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podporządkowanie się poleceniom osób prowadzących zajęcia i pracowników </w:t>
      </w:r>
      <w:r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  </w:t>
      </w:r>
    </w:p>
    <w:p w:rsidR="00E0145B" w:rsidRPr="00E0145B" w:rsidRDefault="00E0145B" w:rsidP="00E0145B">
      <w:pPr>
        <w:tabs>
          <w:tab w:val="decimal" w:pos="720"/>
        </w:tabs>
        <w:spacing w:line="360" w:lineRule="auto"/>
        <w:ind w:left="426"/>
        <w:jc w:val="both"/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     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odpowiedzialnych za funkcjonowanie obiektu,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>dbałość o urządzenia i wyposażenie pomieszczeń,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>zabezpieczenie mienia wartościowego we własnym zakresie,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>przestrzeganie przepisów BHP, ppoż. i porządkowych,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>przestrzeganie aktualnych zaleceń sanitarno-epidemiologicznych.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  <w:t xml:space="preserve">2. Korzystając z pomieszczeń jednostki oświatowej, nie wolno powodować bądź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przyczyniać się do sytuacji zagrażających bezpieczeństwu osób tam przebywających.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9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9"/>
          <w:w w:val="105"/>
          <w:sz w:val="22"/>
          <w:szCs w:val="22"/>
          <w:lang w:eastAsia="en-US"/>
        </w:rPr>
        <w:t xml:space="preserve">3. Wynajmujący ma prawo kontrolować zajęcia pod kątem stosowania się do </w:t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postanowień niniejszego regulaminu oraz umowy, a w razie stwierdzenia uchybień –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zakazać dalszego korzystania z pomieszczeń wynajmowanych.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4. Za przedmioty pozostawione w pomieszczeniach przez najemcę wynajmujący nie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ponosi odpowiedzialności.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5. Odpowiedzialność za porządek, stan wynajmowanego sprzętu oraz pomieszczeń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spoczywa na najemcy.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6. Za wszelkie powstałe szkody podczas wynajmu odpowiedzialność materialną ponosi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najemca.</w:t>
      </w: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>7. Wynajmujący zapewnia nadzór pracownika obsługi.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5"/>
          <w:w w:val="105"/>
          <w:sz w:val="22"/>
          <w:szCs w:val="22"/>
          <w:lang w:eastAsia="en-US"/>
        </w:rPr>
        <w:t xml:space="preserve">8. Obowiązkiem najemcy jest niezwłoczne zgłoszenie wszelkich uwag związanych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z wynajmem do wynajmującego.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9. Najemca jest uprawniony do używania przedmiotu najmu do realizacji celu, o którym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mowa </w:t>
      </w:r>
      <w:r w:rsidR="00BA4186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 umowie.</w:t>
      </w:r>
    </w:p>
    <w:p w:rsidR="00E0145B" w:rsidRPr="00E0145B" w:rsidRDefault="00E0145B" w:rsidP="00E0145B">
      <w:pPr>
        <w:spacing w:before="36"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 xml:space="preserve">10. Najemca jest uprawniony do korzystania ze wszystkich mediów podłączonych do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przedmiotu umowy.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11. W terminie najmu ustalonym w umowie i harmonogramie, stanowiącym załącznik do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umowy, najemca ponosi pełną odpowiedzialność za przedmiot najmu.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12. Najemca może korzystać wyłącznie z tych pomieszczeń i urządzeń, które zostały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określone </w:t>
      </w:r>
      <w:r w:rsidR="00BA4186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 umowie.</w:t>
      </w:r>
    </w:p>
    <w:p w:rsidR="00E0145B" w:rsidRDefault="00E0145B" w:rsidP="00E0145B">
      <w:pPr>
        <w:spacing w:before="72"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13. Najemca nie może bez zgody wynajmującego oddawać przedmiotu najmu do używania </w:t>
      </w:r>
      <w:r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osobom trzecim. 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14. Najemca jest zobowiązany do bezwzględnego przestrzegania zasad bezpieczeństwa </w:t>
      </w: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 xml:space="preserve">wynikających </w:t>
      </w:r>
      <w:r w:rsidR="00BA4186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 xml:space="preserve">z zagrożenia epidemiologicznego (m. in. utrzymywanie dystansu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społecznego, zachowywanie higieny rąk, zakrywanie ust i nosa).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6"/>
          <w:w w:val="105"/>
          <w:sz w:val="22"/>
          <w:szCs w:val="22"/>
          <w:lang w:eastAsia="en-US"/>
        </w:rPr>
        <w:lastRenderedPageBreak/>
        <w:t xml:space="preserve">15. Najemca zobowiązany jest zachować wszelkie zasady i ograniczenia związane </w:t>
      </w:r>
      <w:r w:rsidRPr="00E0145B">
        <w:rPr>
          <w:rFonts w:asciiTheme="minorHAnsi" w:eastAsiaTheme="minorHAnsi" w:hAnsiTheme="minorHAnsi" w:cstheme="minorBidi"/>
          <w:color w:val="000000"/>
          <w:spacing w:val="-9"/>
          <w:w w:val="105"/>
          <w:sz w:val="22"/>
          <w:szCs w:val="22"/>
          <w:lang w:eastAsia="en-US"/>
        </w:rPr>
        <w:t xml:space="preserve">z aktualną sytuacją sanitarno-epidemiologiczną oraz zarządzenia kierownika jednostki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oświatowej w tym zakresie.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16. Najemca zobowiązany jest do dbałości o czystość i estetykę przedmiotu najmu. Najemca jest zobowiązany do współdziałania z wynajmującym, w szczególności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poprzez respektowanie jego zaleceń co do sposobów eksploatacji przedmiotu najmu.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17. W dniu przekazania przedmiotu najmu wynajmujący jest zobowiązany do zapoznania </w:t>
      </w: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najemcy </w:t>
      </w:r>
      <w:r w:rsidR="00BA4186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z rozmieszczeniem wynajętych powierzchni, instrukcją alarmową na wypadek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pożaru, kierunkiem dróg ewakuacyjnych i usytuowaniem podręcznego sprzętu gaśniczego.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1"/>
          <w:w w:val="105"/>
          <w:sz w:val="22"/>
          <w:szCs w:val="22"/>
          <w:lang w:eastAsia="en-US"/>
        </w:rPr>
        <w:t xml:space="preserve">18. Poprzez podpisanie umowy najemca oświadcza, że przedmiot najmu został przez niego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sprawdzony, nie zawiera wad i jest w dobrym stanie technicznym.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19. Każdorazowo przed rozpoczęciem użytkowania przedmiotu najmu najemca jest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zobowiązany:</w:t>
      </w:r>
    </w:p>
    <w:p w:rsidR="00E0145B" w:rsidRPr="00E0145B" w:rsidRDefault="00E0145B" w:rsidP="00E0145B">
      <w:pPr>
        <w:pStyle w:val="Akapitzlist"/>
        <w:numPr>
          <w:ilvl w:val="0"/>
          <w:numId w:val="19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  <w:t xml:space="preserve">pobrać od wynajmującego klucze do wynajmowanych pomieszczeń stanowiących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przedmiot najmu; do pobrania kluczy jest upoważniona tylko i wyłącznie osoba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wskazana przez najemcę;</w:t>
      </w:r>
    </w:p>
    <w:p w:rsidR="00E0145B" w:rsidRPr="00E0145B" w:rsidRDefault="00E0145B" w:rsidP="00E0145B">
      <w:pPr>
        <w:numPr>
          <w:ilvl w:val="0"/>
          <w:numId w:val="19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zgłosić pracownikowi obsługi, o którym mowa w § 6 ust. 7, wszelkie zauważone </w:t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problemy bądź nieprawidłowości z przedmiotem najmu, w szczególności te, które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mogą mieć wpływ na bezpieczeństwo użytkowników przedmiotu najmu.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20. Po zakończonym użytkowaniu przedmiotu najmu najemca jest zobowiązany do </w:t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pozostawienia wynajmowanych pomieszczeń oraz pomieszczeń wspólnych w stanie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niezmienionym oraz do zwrotu pobranych kluczy do pomieszczeń.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21. Za bezpieczeństwo osób przebywających na terenie jednostki oświatowej, w ramach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celu najmu, </w:t>
      </w:r>
      <w:r w:rsidR="00BA4186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o którym mowa w umowie, wyłączną odpowiedzialność ponosi najemca.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1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13"/>
          <w:w w:val="105"/>
          <w:sz w:val="22"/>
          <w:szCs w:val="22"/>
          <w:lang w:eastAsia="en-US"/>
        </w:rPr>
        <w:t xml:space="preserve">22. Za powierzony sprzęt i wyposażenie znajdujące się w wynajmowanych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pomieszczeniach i obiektach odpowiedzialność ponosi najemca.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w w:val="105"/>
          <w:sz w:val="20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23. W przypadku najmu w celach sprzedaży produktów żywnościowych na terenie </w:t>
      </w:r>
      <w:r w:rsidRPr="00E0145B"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  <w:t xml:space="preserve">jednostki oświatowej, najemca zobowiązany jest do przestrzegania wszelkich zapisów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prawa powszechnego </w:t>
      </w:r>
      <w:r w:rsidR="00BA4186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 tym zakresie.</w:t>
      </w:r>
    </w:p>
    <w:p w:rsidR="00E0145B" w:rsidRPr="00E0145B" w:rsidRDefault="00E0145B" w:rsidP="00E0145B">
      <w:pPr>
        <w:spacing w:before="216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7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Zmiany umowy</w:t>
      </w:r>
    </w:p>
    <w:p w:rsidR="00E0145B" w:rsidRDefault="00E0145B" w:rsidP="00E0145B">
      <w:pPr>
        <w:spacing w:before="72" w:line="360" w:lineRule="auto"/>
        <w:ind w:left="360" w:hanging="360"/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</w:pP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Zmiana umowy wymaga sporządzenia pisemnego aneksu do umowy, pod rygorem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nieważności.</w:t>
      </w: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before="72"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2"/>
          <w:w w:val="105"/>
          <w:sz w:val="22"/>
          <w:szCs w:val="22"/>
          <w:lang w:eastAsia="en-US"/>
        </w:rPr>
        <w:t xml:space="preserve">Zmiany umowy nie mogą wyłączać bądź ograniczać zastosowania przepisów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niniejszego regulaminu, pod rygorem nieważności.</w:t>
      </w: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  <w:lastRenderedPageBreak/>
        <w:t xml:space="preserve">Zmiany godzin oraz dni najmu wymagają uzgodnienia pomiędzy wynajmującym </w:t>
      </w:r>
      <w:r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>i najemcą oraz wymagają stosownej zmiany w harmonogramie – załączniku do umowy.</w:t>
      </w: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Każda zmiana adresu wymaga pisemnego poinformowania drugiej strony umowy.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Zmiana nie wymaga aneksu do umowy. W razie niepoinformowania drugiej strony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o zmianie adresu, doręczenie korespondencji pod dotychczasowy adres ma skutek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doręczenia</w:t>
      </w:r>
    </w:p>
    <w:p w:rsid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="Candara" w:eastAsiaTheme="minorHAnsi" w:hAnsi="Candara" w:cstheme="minorBidi"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Zmiana stawki czynszu określona w § 4 ust. 8 i 9 nie wymaga aneksu do umowy</w:t>
      </w:r>
      <w:r w:rsidRPr="00E0145B">
        <w:rPr>
          <w:rFonts w:ascii="Candara" w:eastAsiaTheme="minorHAnsi" w:hAnsi="Candara" w:cstheme="minorBidi"/>
          <w:color w:val="000000"/>
          <w:w w:val="105"/>
          <w:szCs w:val="22"/>
          <w:lang w:eastAsia="en-US"/>
        </w:rPr>
        <w:t>.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8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  <w:t>Naruszenia porządku i regulaminu</w:t>
      </w:r>
    </w:p>
    <w:p w:rsidR="00E0145B" w:rsidRPr="00E0145B" w:rsidRDefault="00E0145B" w:rsidP="00E0145B">
      <w:pPr>
        <w:jc w:val="center"/>
        <w:rPr>
          <w:rFonts w:ascii="Candara" w:eastAsiaTheme="minorHAnsi" w:hAnsi="Candara" w:cstheme="minorBidi"/>
          <w:b/>
          <w:color w:val="000000"/>
          <w:spacing w:val="-4"/>
          <w:w w:val="105"/>
          <w:szCs w:val="22"/>
          <w:lang w:eastAsia="en-US"/>
        </w:rPr>
      </w:pP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Osoby naruszające porządek publiczny bądź przepisy niniejszego regulaminu będą </w:t>
      </w: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usuwane </w:t>
      </w:r>
      <w:r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z terenu obiektów lub pomieszczeń jednostki oświatowej, niezależnie od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ewentualnego skierowania sprawy na drogę właściwego postępowania.</w:t>
      </w:r>
    </w:p>
    <w:p w:rsidR="00E0145B" w:rsidRPr="00E0145B" w:rsidRDefault="00E0145B" w:rsidP="00E0145B">
      <w:pPr>
        <w:spacing w:before="180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9</w:t>
      </w:r>
    </w:p>
    <w:p w:rsid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  <w:t>Wydarzenia z udziałem publiczności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</w:pPr>
    </w:p>
    <w:p w:rsidR="00E0145B" w:rsidRPr="00E0145B" w:rsidRDefault="00E0145B" w:rsidP="00E0145B">
      <w:pPr>
        <w:numPr>
          <w:ilvl w:val="0"/>
          <w:numId w:val="23"/>
        </w:numPr>
        <w:tabs>
          <w:tab w:val="decimal" w:pos="432"/>
        </w:tabs>
        <w:spacing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W przypadku organizowania przez najemcę spotkań, imprez bądź innych wydarzeń z udziałem publiczności najemca jest zobowiązany do zapewnienia uczestnikom </w:t>
      </w: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takiego wydarzenia bezpieczeństwa, zgodnie z wymogami obowiązujących przepisów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prawa.</w:t>
      </w:r>
    </w:p>
    <w:p w:rsidR="00E0145B" w:rsidRPr="00E0145B" w:rsidRDefault="00E0145B" w:rsidP="00E0145B">
      <w:pPr>
        <w:numPr>
          <w:ilvl w:val="0"/>
          <w:numId w:val="23"/>
        </w:numPr>
        <w:tabs>
          <w:tab w:val="decimal" w:pos="432"/>
        </w:tabs>
        <w:spacing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W przypadku organizowania przez najemcę spotkań, imprez bądź innych wydarzeń </w:t>
      </w:r>
      <w:r w:rsidRPr="00E0145B"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  <w:t xml:space="preserve">z udziałem publiczności najemca jest zobowiązany do uzyskania odpowiedniej zgody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wynajmującego.</w:t>
      </w:r>
    </w:p>
    <w:p w:rsidR="00E0145B" w:rsidRPr="00E0145B" w:rsidRDefault="00E0145B" w:rsidP="00E0145B">
      <w:pPr>
        <w:numPr>
          <w:ilvl w:val="0"/>
          <w:numId w:val="23"/>
        </w:numPr>
        <w:tabs>
          <w:tab w:val="decimal" w:pos="432"/>
        </w:tabs>
        <w:spacing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  <w:t xml:space="preserve">Najemca ponosi pełną odpowiedzialność za wypadki i inne zdarzenia zaistniałe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w trakcie wykonywania umowy najmu oraz organizowania wydarzeń, o których mowa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w ust 1.</w:t>
      </w:r>
    </w:p>
    <w:p w:rsidR="00E0145B" w:rsidRPr="000A459B" w:rsidRDefault="00E0145B" w:rsidP="000A459B">
      <w:pPr>
        <w:numPr>
          <w:ilvl w:val="0"/>
          <w:numId w:val="23"/>
        </w:numPr>
        <w:tabs>
          <w:tab w:val="decimal" w:pos="432"/>
        </w:tabs>
        <w:spacing w:before="72"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  <w:t xml:space="preserve">Obowiązek uzyskania wszelkich zgód, pozwoleń oraz dokonania zgłoszeń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wymaganych </w:t>
      </w:r>
      <w:r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w związku z planowanym wydarzeniem, o którym mowa w ust 1,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spoczywa na najemcy.</w:t>
      </w:r>
    </w:p>
    <w:p w:rsidR="00DD4B5C" w:rsidRDefault="00DD4B5C" w:rsidP="00DD4B5C">
      <w:pPr>
        <w:spacing w:before="216"/>
        <w:jc w:val="center"/>
        <w:rPr>
          <w:rFonts w:ascii="Candara" w:eastAsiaTheme="minorHAnsi" w:hAnsi="Candara" w:cstheme="minorBidi"/>
          <w:b/>
          <w:color w:val="000000"/>
          <w:w w:val="105"/>
          <w:szCs w:val="22"/>
          <w:lang w:eastAsia="en-US"/>
        </w:rPr>
      </w:pPr>
    </w:p>
    <w:p w:rsidR="00DD4B5C" w:rsidRPr="00DD4B5C" w:rsidRDefault="00DD4B5C" w:rsidP="00DD4B5C">
      <w:pPr>
        <w:spacing w:before="216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10</w:t>
      </w:r>
    </w:p>
    <w:p w:rsidR="00DD4B5C" w:rsidRDefault="00DD4B5C" w:rsidP="00DD4B5C">
      <w:pPr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  <w:t>Postanowienia końcowe</w:t>
      </w:r>
    </w:p>
    <w:p w:rsidR="00DD4B5C" w:rsidRPr="00DD4B5C" w:rsidRDefault="00DD4B5C" w:rsidP="00DD4B5C">
      <w:pPr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</w:p>
    <w:p w:rsidR="00DD4B5C" w:rsidRPr="00DD4B5C" w:rsidRDefault="00DD4B5C" w:rsidP="00DD4B5C">
      <w:pPr>
        <w:numPr>
          <w:ilvl w:val="0"/>
          <w:numId w:val="24"/>
        </w:numPr>
        <w:tabs>
          <w:tab w:val="decimal" w:pos="432"/>
        </w:tabs>
        <w:spacing w:before="72"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Wynajmujący jest zobowiązany do opublikowania aktualnych stawek czynszu na </w:t>
      </w:r>
      <w:r w:rsidRPr="00DD4B5C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stronie internetowej jednostki oświatowej.</w:t>
      </w:r>
    </w:p>
    <w:p w:rsidR="00DD4B5C" w:rsidRPr="000A459B" w:rsidRDefault="00DD4B5C" w:rsidP="00BA4186">
      <w:pPr>
        <w:numPr>
          <w:ilvl w:val="0"/>
          <w:numId w:val="24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  <w:t xml:space="preserve">W zakresie nieunormowanym niniejszym regulaminem zastosowanie mają </w:t>
      </w:r>
      <w:r w:rsidRPr="00DD4B5C">
        <w:rPr>
          <w:rFonts w:asciiTheme="minorHAnsi" w:eastAsiaTheme="minorHAnsi" w:hAnsiTheme="minorHAnsi" w:cstheme="minorBidi"/>
          <w:color w:val="000000"/>
          <w:spacing w:val="2"/>
          <w:w w:val="105"/>
          <w:sz w:val="22"/>
          <w:szCs w:val="22"/>
          <w:lang w:eastAsia="en-US"/>
        </w:rPr>
        <w:t>odpowiednie przepisy regulujące kwestie BHP, przeciwpożarowe i sanitarno-</w:t>
      </w:r>
      <w:r w:rsidRPr="00DD4B5C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epidemiologiczne.</w:t>
      </w:r>
    </w:p>
    <w:sectPr w:rsidR="00DD4B5C" w:rsidRPr="000A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E3"/>
    <w:multiLevelType w:val="multilevel"/>
    <w:tmpl w:val="94527D96"/>
    <w:lvl w:ilvl="0">
      <w:start w:val="1"/>
      <w:numFmt w:val="decimal"/>
      <w:lvlText w:val="%1."/>
      <w:lvlJc w:val="left"/>
      <w:pPr>
        <w:tabs>
          <w:tab w:val="decimal" w:pos="207"/>
        </w:tabs>
        <w:ind w:left="567"/>
      </w:pPr>
      <w:rPr>
        <w:rFonts w:asciiTheme="minorHAnsi" w:hAnsiTheme="minorHAnsi" w:cstheme="minorHAnsi" w:hint="default"/>
        <w:strike w:val="0"/>
        <w:color w:val="000000"/>
        <w:spacing w:val="-7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22F1"/>
    <w:multiLevelType w:val="multilevel"/>
    <w:tmpl w:val="37866248"/>
    <w:lvl w:ilvl="0">
      <w:start w:val="1"/>
      <w:numFmt w:val="decimal"/>
      <w:lvlText w:val="%1)"/>
      <w:lvlJc w:val="left"/>
      <w:pPr>
        <w:tabs>
          <w:tab w:val="decimal" w:pos="66"/>
        </w:tabs>
        <w:ind w:left="426"/>
      </w:pPr>
      <w:rPr>
        <w:rFonts w:asciiTheme="minorHAnsi" w:eastAsiaTheme="minorHAnsi" w:hAnsiTheme="minorHAnsi" w:cstheme="minorHAnsi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A361A"/>
    <w:multiLevelType w:val="multilevel"/>
    <w:tmpl w:val="A5342CEC"/>
    <w:lvl w:ilvl="0">
      <w:start w:val="1"/>
      <w:numFmt w:val="decimal"/>
      <w:lvlText w:val="%1)"/>
      <w:lvlJc w:val="left"/>
      <w:pPr>
        <w:tabs>
          <w:tab w:val="num" w:pos="766"/>
        </w:tabs>
        <w:ind w:left="823" w:hanging="397"/>
      </w:pPr>
      <w:rPr>
        <w:rFonts w:asciiTheme="minorHAnsi" w:eastAsiaTheme="minorHAnsi" w:hAnsiTheme="minorHAnsi" w:cstheme="minorHAnsi" w:hint="default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256" w:firstLine="0"/>
      </w:pPr>
      <w:rPr>
        <w:rFonts w:hint="default"/>
      </w:rPr>
    </w:lvl>
    <w:lvl w:ilvl="2">
      <w:numFmt w:val="decimal"/>
      <w:lvlText w:val=""/>
      <w:lvlJc w:val="left"/>
      <w:pPr>
        <w:ind w:left="256" w:firstLine="0"/>
      </w:pPr>
      <w:rPr>
        <w:rFonts w:hint="default"/>
      </w:rPr>
    </w:lvl>
    <w:lvl w:ilvl="3">
      <w:numFmt w:val="decimal"/>
      <w:lvlText w:val=""/>
      <w:lvlJc w:val="left"/>
      <w:pPr>
        <w:ind w:left="256" w:firstLine="0"/>
      </w:pPr>
      <w:rPr>
        <w:rFonts w:hint="default"/>
      </w:rPr>
    </w:lvl>
    <w:lvl w:ilvl="4">
      <w:numFmt w:val="decimal"/>
      <w:lvlText w:val=""/>
      <w:lvlJc w:val="left"/>
      <w:pPr>
        <w:ind w:left="256" w:firstLine="0"/>
      </w:pPr>
      <w:rPr>
        <w:rFonts w:hint="default"/>
      </w:rPr>
    </w:lvl>
    <w:lvl w:ilvl="5">
      <w:numFmt w:val="decimal"/>
      <w:lvlText w:val=""/>
      <w:lvlJc w:val="left"/>
      <w:pPr>
        <w:ind w:left="256" w:firstLine="0"/>
      </w:pPr>
      <w:rPr>
        <w:rFonts w:hint="default"/>
      </w:rPr>
    </w:lvl>
    <w:lvl w:ilvl="6">
      <w:numFmt w:val="decimal"/>
      <w:lvlText w:val=""/>
      <w:lvlJc w:val="left"/>
      <w:pPr>
        <w:ind w:left="256" w:firstLine="0"/>
      </w:pPr>
      <w:rPr>
        <w:rFonts w:hint="default"/>
      </w:rPr>
    </w:lvl>
    <w:lvl w:ilvl="7">
      <w:numFmt w:val="decimal"/>
      <w:lvlText w:val=""/>
      <w:lvlJc w:val="left"/>
      <w:pPr>
        <w:ind w:left="256" w:firstLine="0"/>
      </w:pPr>
      <w:rPr>
        <w:rFonts w:hint="default"/>
      </w:rPr>
    </w:lvl>
    <w:lvl w:ilvl="8">
      <w:numFmt w:val="decimal"/>
      <w:lvlText w:val=""/>
      <w:lvlJc w:val="left"/>
      <w:pPr>
        <w:ind w:left="256" w:firstLine="0"/>
      </w:pPr>
      <w:rPr>
        <w:rFonts w:hint="default"/>
      </w:rPr>
    </w:lvl>
  </w:abstractNum>
  <w:abstractNum w:abstractNumId="3" w15:restartNumberingAfterBreak="0">
    <w:nsid w:val="0BD937E7"/>
    <w:multiLevelType w:val="hybridMultilevel"/>
    <w:tmpl w:val="E45EAE30"/>
    <w:lvl w:ilvl="0" w:tplc="D83E6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061"/>
    <w:multiLevelType w:val="multilevel"/>
    <w:tmpl w:val="88CC65C6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210"/>
      </w:pPr>
      <w:rPr>
        <w:rFonts w:asciiTheme="minorHAnsi" w:eastAsiaTheme="minorHAnsi" w:hAnsiTheme="minorHAnsi" w:cstheme="minorHAnsi" w:hint="default"/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166227"/>
    <w:multiLevelType w:val="hybridMultilevel"/>
    <w:tmpl w:val="73F62C68"/>
    <w:lvl w:ilvl="0" w:tplc="FC726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CB7"/>
    <w:multiLevelType w:val="multilevel"/>
    <w:tmpl w:val="0D32BA6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D480A"/>
    <w:multiLevelType w:val="multilevel"/>
    <w:tmpl w:val="08D42F9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ndara" w:eastAsiaTheme="minorHAnsi" w:hAnsi="Candara" w:cstheme="minorBidi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F0B60"/>
    <w:multiLevelType w:val="multilevel"/>
    <w:tmpl w:val="1C540C94"/>
    <w:lvl w:ilvl="0">
      <w:start w:val="1"/>
      <w:numFmt w:val="decimal"/>
      <w:lvlText w:val="%1."/>
      <w:lvlJc w:val="left"/>
      <w:pPr>
        <w:tabs>
          <w:tab w:val="num" w:pos="454"/>
        </w:tabs>
        <w:ind w:left="511" w:hanging="227"/>
      </w:pPr>
      <w:rPr>
        <w:rFonts w:asciiTheme="minorHAnsi" w:hAnsiTheme="minorHAnsi" w:cstheme="minorHAnsi" w:hint="default"/>
        <w:strike w:val="0"/>
        <w:color w:val="000000"/>
        <w:spacing w:val="-7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9E03083"/>
    <w:multiLevelType w:val="multilevel"/>
    <w:tmpl w:val="5116348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Theme="minorHAnsi" w:eastAsiaTheme="minorHAnsi" w:hAnsiTheme="minorHAnsi" w:cstheme="minorHAnsi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4BA0"/>
    <w:multiLevelType w:val="multilevel"/>
    <w:tmpl w:val="23221FAC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153"/>
      </w:pPr>
      <w:rPr>
        <w:rFonts w:ascii="Candara" w:eastAsiaTheme="minorHAnsi" w:hAnsi="Candara" w:cstheme="minorBidi" w:hint="default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67D33"/>
    <w:multiLevelType w:val="hybridMultilevel"/>
    <w:tmpl w:val="657011A4"/>
    <w:lvl w:ilvl="0" w:tplc="A5B6D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5654C"/>
    <w:multiLevelType w:val="multilevel"/>
    <w:tmpl w:val="19F4F1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hint="default"/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875A9"/>
    <w:multiLevelType w:val="multilevel"/>
    <w:tmpl w:val="51881E3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97F94"/>
    <w:multiLevelType w:val="multilevel"/>
    <w:tmpl w:val="0742BEE8"/>
    <w:lvl w:ilvl="0">
      <w:start w:val="1"/>
      <w:numFmt w:val="decimal"/>
      <w:lvlText w:val="%1."/>
      <w:lvlJc w:val="left"/>
      <w:pPr>
        <w:tabs>
          <w:tab w:val="decimal" w:pos="66"/>
        </w:tabs>
        <w:ind w:left="426"/>
      </w:pPr>
      <w:rPr>
        <w:rFonts w:asciiTheme="minorHAnsi" w:hAnsiTheme="minorHAnsi" w:hint="default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3C24C4"/>
    <w:multiLevelType w:val="multilevel"/>
    <w:tmpl w:val="D82CAAA6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23"/>
      </w:pPr>
      <w:rPr>
        <w:rFonts w:ascii="Candara" w:eastAsiaTheme="minorHAnsi" w:hAnsi="Candara" w:cstheme="minorBidi" w:hint="default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C330E33"/>
    <w:multiLevelType w:val="hybridMultilevel"/>
    <w:tmpl w:val="18720C8A"/>
    <w:lvl w:ilvl="0" w:tplc="64E2AC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20F2B"/>
    <w:multiLevelType w:val="multilevel"/>
    <w:tmpl w:val="4A4CADD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24160"/>
    <w:multiLevelType w:val="hybridMultilevel"/>
    <w:tmpl w:val="A7F0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523F"/>
    <w:multiLevelType w:val="multilevel"/>
    <w:tmpl w:val="18A03706"/>
    <w:lvl w:ilvl="0">
      <w:start w:val="1"/>
      <w:numFmt w:val="decimal"/>
      <w:lvlText w:val="%1)"/>
      <w:lvlJc w:val="left"/>
      <w:pPr>
        <w:tabs>
          <w:tab w:val="decimal" w:pos="-148"/>
        </w:tabs>
        <w:ind w:left="284"/>
      </w:pPr>
      <w:rPr>
        <w:rFonts w:asciiTheme="minorHAnsi" w:eastAsiaTheme="minorHAnsi" w:hAnsiTheme="minorHAnsi" w:cstheme="minorBidi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E74845"/>
    <w:multiLevelType w:val="multilevel"/>
    <w:tmpl w:val="94ECA2D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ndara" w:hAnsi="Candar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77395"/>
    <w:multiLevelType w:val="multilevel"/>
    <w:tmpl w:val="ED64AA3E"/>
    <w:lvl w:ilvl="0">
      <w:start w:val="1"/>
      <w:numFmt w:val="decimal"/>
      <w:lvlText w:val="%1)"/>
      <w:lvlJc w:val="left"/>
      <w:pPr>
        <w:tabs>
          <w:tab w:val="decimal" w:pos="-6"/>
        </w:tabs>
        <w:ind w:left="426"/>
      </w:pPr>
      <w:rPr>
        <w:rFonts w:ascii="Candara" w:hAnsi="Candar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635F7"/>
    <w:multiLevelType w:val="multilevel"/>
    <w:tmpl w:val="CE04F89A"/>
    <w:lvl w:ilvl="0">
      <w:start w:val="1"/>
      <w:numFmt w:val="decimal"/>
      <w:lvlText w:val="%1)"/>
      <w:lvlJc w:val="left"/>
      <w:pPr>
        <w:tabs>
          <w:tab w:val="num" w:pos="135"/>
        </w:tabs>
        <w:ind w:left="567" w:firstLine="0"/>
      </w:pPr>
      <w:rPr>
        <w:rFonts w:asciiTheme="minorHAnsi" w:eastAsiaTheme="minorHAnsi" w:hAnsiTheme="minorHAnsi" w:cstheme="minorHAnsi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B7874CD"/>
    <w:multiLevelType w:val="multilevel"/>
    <w:tmpl w:val="3B0499B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3"/>
  </w:num>
  <w:num w:numId="8">
    <w:abstractNumId w:val="11"/>
  </w:num>
  <w:num w:numId="9">
    <w:abstractNumId w:val="17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22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15"/>
  </w:num>
  <w:num w:numId="20">
    <w:abstractNumId w:val="7"/>
  </w:num>
  <w:num w:numId="21">
    <w:abstractNumId w:val="10"/>
  </w:num>
  <w:num w:numId="22">
    <w:abstractNumId w:val="14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6"/>
    <w:rsid w:val="000A459B"/>
    <w:rsid w:val="00112369"/>
    <w:rsid w:val="0023245D"/>
    <w:rsid w:val="006D0BF9"/>
    <w:rsid w:val="007947D2"/>
    <w:rsid w:val="00945D47"/>
    <w:rsid w:val="009A500B"/>
    <w:rsid w:val="00AF3723"/>
    <w:rsid w:val="00B33F76"/>
    <w:rsid w:val="00BA4186"/>
    <w:rsid w:val="00DD4B5C"/>
    <w:rsid w:val="00E0145B"/>
    <w:rsid w:val="00E27C0A"/>
    <w:rsid w:val="00E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E7A9"/>
  <w15:chartTrackingRefBased/>
  <w15:docId w15:val="{1EB8A0CA-11A1-4453-84CF-74765CC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F7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B33F76"/>
    <w:pPr>
      <w:jc w:val="both"/>
    </w:pPr>
    <w:rPr>
      <w:rFonts w:ascii="Arial" w:hAnsi="Arial" w:cs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F76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9</cp:revision>
  <dcterms:created xsi:type="dcterms:W3CDTF">2022-01-24T11:55:00Z</dcterms:created>
  <dcterms:modified xsi:type="dcterms:W3CDTF">2023-08-17T10:45:00Z</dcterms:modified>
</cp:coreProperties>
</file>